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7311" w:rsidRDefault="000A7311">
      <w:pPr>
        <w:pStyle w:val="Liniapozioma"/>
      </w:pPr>
    </w:p>
    <w:p w:rsidR="000A7311" w:rsidRDefault="000A7311">
      <w:pPr>
        <w:pStyle w:val="Nagwek1"/>
        <w:numPr>
          <w:ilvl w:val="0"/>
          <w:numId w:val="0"/>
        </w:numPr>
        <w:ind w:left="-21" w:right="-6" w:hanging="15"/>
      </w:pPr>
      <w:r>
        <w:t>SEKCJA 1:</w:t>
      </w:r>
      <w:r>
        <w:tab/>
        <w:t xml:space="preserve">IDENTYFIKACJA SUBSTANCJI/MIESZANINY </w:t>
      </w:r>
    </w:p>
    <w:p w:rsidR="000A7311" w:rsidRDefault="000A7311">
      <w:pPr>
        <w:pStyle w:val="Nagwek1"/>
        <w:numPr>
          <w:ilvl w:val="0"/>
          <w:numId w:val="0"/>
        </w:numPr>
        <w:tabs>
          <w:tab w:val="clear" w:pos="1418"/>
          <w:tab w:val="clear" w:pos="2127"/>
          <w:tab w:val="clear" w:pos="2837"/>
          <w:tab w:val="clear" w:pos="3546"/>
          <w:tab w:val="clear" w:pos="4255"/>
          <w:tab w:val="clear" w:pos="4964"/>
          <w:tab w:val="clear" w:pos="5673"/>
          <w:tab w:val="clear" w:pos="6383"/>
          <w:tab w:val="clear" w:pos="7092"/>
          <w:tab w:val="clear" w:pos="7801"/>
          <w:tab w:val="clear" w:pos="8510"/>
          <w:tab w:val="clear" w:pos="9219"/>
          <w:tab w:val="left" w:pos="1425"/>
        </w:tabs>
        <w:ind w:right="-6"/>
        <w:rPr>
          <w:b w:val="0"/>
        </w:rPr>
      </w:pPr>
      <w:r>
        <w:t xml:space="preserve"> </w:t>
      </w:r>
      <w:r>
        <w:tab/>
        <w:t>I IDENTYFIKACJA PRZEDSIĘBIORSTWA</w:t>
      </w:r>
    </w:p>
    <w:p w:rsidR="000A7311" w:rsidRDefault="000A7311">
      <w:pPr>
        <w:pStyle w:val="Liniapozioma"/>
      </w:pP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1.1. Identyfikator produktu.</w:t>
      </w:r>
    </w:p>
    <w:p w:rsidR="000A7311" w:rsidRDefault="00E77FF5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>ERMAX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 xml:space="preserve">1.2. Istotne zidentyfikowane zastosowania substancji lub mieszaniny </w:t>
      </w:r>
      <w:proofErr w:type="spellStart"/>
      <w:r>
        <w:rPr>
          <w:rFonts w:ascii="Verdana" w:eastAsia="Verdana" w:hAnsi="Verdana" w:cs="Verdana"/>
          <w:b/>
          <w:bCs/>
        </w:rPr>
        <w:t>oraz.zastosowania</w:t>
      </w:r>
      <w:proofErr w:type="spellEnd"/>
      <w:r>
        <w:rPr>
          <w:rFonts w:ascii="Verdana" w:eastAsia="Verdana" w:hAnsi="Verdana" w:cs="Verdana"/>
          <w:b/>
          <w:bCs/>
        </w:rPr>
        <w:t xml:space="preserve"> odradzane.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Zastosowania zidentyfikowane: Plastyfikator do zapraw.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>Zastosowania odradzane: Nie określono.</w:t>
      </w:r>
    </w:p>
    <w:p w:rsidR="000A7311" w:rsidRPr="00E77FF5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1.3. Producent: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MEEX-AG</w:t>
      </w:r>
      <w:proofErr w:type="spellEnd"/>
      <w:r>
        <w:rPr>
          <w:rFonts w:ascii="Verdana" w:eastAsia="Verdana" w:hAnsi="Verdana" w:cs="Verdana"/>
        </w:rPr>
        <w:t xml:space="preserve"> AGROMUS S.C. E. Sikora, M. Sikora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Adres: ul. </w:t>
      </w:r>
      <w:proofErr w:type="spellStart"/>
      <w:r>
        <w:rPr>
          <w:rFonts w:ascii="Verdana" w:eastAsia="Verdana" w:hAnsi="Verdana" w:cs="Verdana"/>
        </w:rPr>
        <w:t>Borowcowa</w:t>
      </w:r>
      <w:proofErr w:type="spellEnd"/>
      <w:r>
        <w:rPr>
          <w:rFonts w:ascii="Verdana" w:eastAsia="Verdana" w:hAnsi="Verdana" w:cs="Verdana"/>
        </w:rPr>
        <w:t xml:space="preserve"> k/126; 32-500 Chrzanów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Telefon/</w:t>
      </w:r>
      <w:proofErr w:type="spellStart"/>
      <w:r>
        <w:rPr>
          <w:rFonts w:ascii="Verdana" w:eastAsia="Verdana" w:hAnsi="Verdana" w:cs="Verdana"/>
        </w:rPr>
        <w:t>Fax</w:t>
      </w:r>
      <w:proofErr w:type="spellEnd"/>
      <w:r>
        <w:rPr>
          <w:rFonts w:ascii="Verdana" w:eastAsia="Verdana" w:hAnsi="Verdana" w:cs="Verdana"/>
        </w:rPr>
        <w:t>: +48 32 622 92 17</w:t>
      </w:r>
    </w:p>
    <w:p w:rsidR="00E77FF5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Adres e-mail osoby odpowiedzialnej za kartę charakterystyki: </w:t>
      </w:r>
      <w:hyperlink r:id="rId7" w:history="1">
        <w:r w:rsidR="00E77FF5" w:rsidRPr="001B670F">
          <w:rPr>
            <w:rStyle w:val="Hipercze"/>
            <w:rFonts w:ascii="Verdana" w:eastAsia="Verdana" w:hAnsi="Verdana" w:cs="Verdana"/>
          </w:rPr>
          <w:t>meex@meex.pl</w:t>
        </w:r>
      </w:hyperlink>
    </w:p>
    <w:p w:rsidR="00E77FF5" w:rsidRDefault="00E77FF5">
      <w:pPr>
        <w:autoSpaceDE w:val="0"/>
        <w:jc w:val="both"/>
        <w:rPr>
          <w:rFonts w:ascii="Verdana" w:eastAsia="Verdana" w:hAnsi="Verdana" w:cs="Verdana"/>
          <w:b/>
          <w:bCs/>
        </w:rPr>
      </w:pPr>
    </w:p>
    <w:p w:rsidR="00E77FF5" w:rsidRDefault="00955F2A" w:rsidP="00E77FF5">
      <w:pPr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Dystrybutor</w:t>
      </w:r>
      <w:r w:rsidR="00E77FF5">
        <w:rPr>
          <w:rFonts w:ascii="Verdana" w:eastAsia="Verdana" w:hAnsi="Verdana" w:cs="Verdana"/>
          <w:b/>
          <w:bCs/>
        </w:rPr>
        <w:t xml:space="preserve">: </w:t>
      </w:r>
    </w:p>
    <w:p w:rsidR="00E77FF5" w:rsidRPr="00E77FF5" w:rsidRDefault="00E77FF5" w:rsidP="00E77FF5">
      <w:pPr>
        <w:jc w:val="both"/>
        <w:rPr>
          <w:rFonts w:ascii="Arial" w:hAnsi="Arial"/>
        </w:rPr>
      </w:pPr>
      <w:r w:rsidRPr="00E77FF5">
        <w:rPr>
          <w:rFonts w:ascii="Arial" w:hAnsi="Arial"/>
        </w:rPr>
        <w:t xml:space="preserve">Konsorcjum Handlowe </w:t>
      </w:r>
      <w:proofErr w:type="spellStart"/>
      <w:r w:rsidRPr="00E77FF5">
        <w:rPr>
          <w:rFonts w:ascii="Arial" w:hAnsi="Arial"/>
        </w:rPr>
        <w:t>Stofarb</w:t>
      </w:r>
      <w:proofErr w:type="spellEnd"/>
      <w:r w:rsidRPr="00E77FF5">
        <w:rPr>
          <w:rFonts w:ascii="Arial" w:hAnsi="Arial"/>
        </w:rPr>
        <w:t xml:space="preserve"> S.A. </w:t>
      </w:r>
    </w:p>
    <w:p w:rsidR="00E77FF5" w:rsidRPr="00E77FF5" w:rsidRDefault="00E77FF5" w:rsidP="00E77FF5">
      <w:pPr>
        <w:jc w:val="both"/>
        <w:rPr>
          <w:rFonts w:ascii="Arial" w:hAnsi="Arial"/>
          <w:bCs/>
        </w:rPr>
      </w:pPr>
      <w:r w:rsidRPr="00E77FF5">
        <w:rPr>
          <w:rFonts w:ascii="Arial" w:hAnsi="Arial"/>
          <w:bCs/>
        </w:rPr>
        <w:t xml:space="preserve">z siedzibą 41-500 Chorzów ul. Gościnna 1 </w:t>
      </w:r>
    </w:p>
    <w:p w:rsidR="00E77FF5" w:rsidRPr="00E77FF5" w:rsidRDefault="00E77FF5" w:rsidP="00E77FF5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NIP 627-23-38-259</w:t>
      </w:r>
    </w:p>
    <w:p w:rsidR="00E77FF5" w:rsidRDefault="00E77FF5">
      <w:pPr>
        <w:autoSpaceDE w:val="0"/>
        <w:jc w:val="both"/>
        <w:rPr>
          <w:rFonts w:ascii="Verdana" w:eastAsia="Verdana" w:hAnsi="Verdana" w:cs="Verdana"/>
          <w:b/>
          <w:bCs/>
        </w:rPr>
      </w:pPr>
    </w:p>
    <w:p w:rsidR="00E77FF5" w:rsidRPr="00E77FF5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1.4. Numer telefonu alarmowego.</w:t>
      </w:r>
    </w:p>
    <w:p w:rsidR="000A7311" w:rsidRDefault="000A7311">
      <w:pPr>
        <w:autoSpaceDE w:val="0"/>
        <w:jc w:val="both"/>
      </w:pPr>
      <w:r>
        <w:rPr>
          <w:rFonts w:ascii="Verdana" w:eastAsia="Verdana" w:hAnsi="Verdana" w:cs="Verdana"/>
          <w:b/>
        </w:rPr>
        <w:t>112 (telefon alarmowy), 998 (straż pożarna), 999 (pogotowie ratunkowe)</w:t>
      </w:r>
    </w:p>
    <w:p w:rsidR="000A7311" w:rsidRDefault="000A7311">
      <w:pPr>
        <w:pStyle w:val="Liniapozioma"/>
      </w:pPr>
    </w:p>
    <w:p w:rsidR="000A7311" w:rsidRDefault="000A7311">
      <w:pPr>
        <w:pStyle w:val="Nagwek1"/>
        <w:tabs>
          <w:tab w:val="clear" w:pos="0"/>
          <w:tab w:val="clear" w:pos="2127"/>
          <w:tab w:val="clear" w:pos="2837"/>
          <w:tab w:val="left" w:pos="2250"/>
          <w:tab w:val="left" w:pos="2820"/>
        </w:tabs>
      </w:pPr>
      <w:r>
        <w:t>SEKCJA 2:</w:t>
      </w:r>
      <w:r>
        <w:tab/>
        <w:t>IDENTYFIKACJA ZAGROŻEŃ</w:t>
      </w:r>
    </w:p>
    <w:p w:rsidR="000A7311" w:rsidRDefault="000A7311">
      <w:pPr>
        <w:pStyle w:val="Liniapozioma"/>
      </w:pPr>
    </w:p>
    <w:p w:rsidR="000A7311" w:rsidRDefault="000A7311">
      <w:pPr>
        <w:ind w:right="-5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2.1. Klasyfikacja substancji lub mieszaniny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Klasyfikacja wg według rozporządzenia 1272/2008/WE: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Zagrożenia dla człowieka: Nie spełnia kryteriów klasyfikacji.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Zagrożenia dla środowiska: Nie spełnia kryteriów klasyfikacji jako stwarzający zagrożenie dla środowiska.</w:t>
      </w:r>
    </w:p>
    <w:p w:rsidR="000A7311" w:rsidRDefault="000A7311">
      <w:pPr>
        <w:autoSpaceDE w:val="0"/>
        <w:ind w:right="-5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>Zagrożenia wynikające z właściwości fizykochemicznych: Nie spełnia kryteriów klasyfikacji.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2.2. Elementy oznakowania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Oznakowanie zgodne z rozporządzeniem 1272/2008/WE (CLP)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Piktogram określający rodzaj zagrożenia, hasło ostrzegawcze: Brak.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Zwroty wskazujące rodzaj zagrożenia: Brak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Zwroty określające środki ostrożności: Brak</w:t>
      </w:r>
    </w:p>
    <w:p w:rsidR="000A7311" w:rsidRDefault="000A7311">
      <w:pPr>
        <w:autoSpaceDE w:val="0"/>
        <w:ind w:right="-5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>Nazwy niebezpiecznych składników umieszczone na etykiecie: Brak</w:t>
      </w:r>
    </w:p>
    <w:p w:rsidR="000A7311" w:rsidRDefault="000A7311">
      <w:pPr>
        <w:tabs>
          <w:tab w:val="left" w:pos="1185"/>
          <w:tab w:val="left" w:pos="1215"/>
        </w:tabs>
        <w:ind w:left="10" w:right="-5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2.3. Inne zagrożenia</w:t>
      </w:r>
    </w:p>
    <w:p w:rsidR="000A7311" w:rsidRDefault="000A7311">
      <w:pPr>
        <w:autoSpaceDE w:val="0"/>
        <w:jc w:val="both"/>
      </w:pPr>
      <w:r>
        <w:rPr>
          <w:rFonts w:ascii="Verdana" w:eastAsia="Verdana" w:hAnsi="Verdana" w:cs="Verdana"/>
        </w:rPr>
        <w:t xml:space="preserve">Produkt nie spełnia kryteriów PBT lub </w:t>
      </w:r>
      <w:proofErr w:type="spellStart"/>
      <w:r>
        <w:rPr>
          <w:rFonts w:ascii="Verdana" w:eastAsia="Verdana" w:hAnsi="Verdana" w:cs="Verdana"/>
        </w:rPr>
        <w:t>vPvB</w:t>
      </w:r>
      <w:proofErr w:type="spellEnd"/>
      <w:r>
        <w:rPr>
          <w:rFonts w:ascii="Verdana" w:eastAsia="Verdana" w:hAnsi="Verdana" w:cs="Verdana"/>
        </w:rPr>
        <w:t xml:space="preserve"> zgodnie z załącznikiem XIII rozporządzenia 1907/2006 (REACH).</w:t>
      </w:r>
    </w:p>
    <w:p w:rsidR="000A7311" w:rsidRDefault="000A7311">
      <w:pPr>
        <w:pStyle w:val="Liniapozioma"/>
      </w:pPr>
    </w:p>
    <w:p w:rsidR="000A7311" w:rsidRDefault="000A7311">
      <w:pPr>
        <w:pStyle w:val="Nagwek1"/>
        <w:numPr>
          <w:ilvl w:val="0"/>
          <w:numId w:val="0"/>
        </w:numPr>
        <w:tabs>
          <w:tab w:val="clear" w:pos="1418"/>
          <w:tab w:val="clear" w:pos="2127"/>
          <w:tab w:val="clear" w:pos="2837"/>
          <w:tab w:val="left" w:pos="555"/>
          <w:tab w:val="left" w:pos="1425"/>
        </w:tabs>
        <w:ind w:left="-6" w:right="-6"/>
      </w:pPr>
      <w:r>
        <w:lastRenderedPageBreak/>
        <w:t xml:space="preserve">SEKCJA 3: </w:t>
      </w:r>
      <w:r>
        <w:tab/>
        <w:t>SKŁAD / INFORMACJA O SKŁADNIKACH</w:t>
      </w:r>
    </w:p>
    <w:p w:rsidR="000A7311" w:rsidRDefault="000A7311">
      <w:pPr>
        <w:pStyle w:val="Liniapozioma"/>
      </w:pPr>
    </w:p>
    <w:p w:rsidR="000A7311" w:rsidRDefault="000A7311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3.1. Substancje</w:t>
      </w:r>
    </w:p>
    <w:p w:rsidR="000A7311" w:rsidRDefault="000A7311">
      <w:pPr>
        <w:autoSpaceDE w:val="0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>Nie dotyczy.</w:t>
      </w:r>
    </w:p>
    <w:p w:rsidR="000A7311" w:rsidRDefault="000A7311">
      <w:pPr>
        <w:autoSpaceDE w:val="0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3.2. Mieszaniny</w:t>
      </w:r>
    </w:p>
    <w:p w:rsidR="000A7311" w:rsidRDefault="000A7311">
      <w:pPr>
        <w:autoSpaceDE w:val="0"/>
        <w:rPr>
          <w:rFonts w:ascii="Verdana" w:eastAsia="Verdana" w:hAnsi="Verdana" w:cs="Verdana"/>
          <w:b/>
          <w:bCs/>
        </w:rPr>
      </w:pPr>
    </w:p>
    <w:p w:rsidR="000A7311" w:rsidRDefault="000A7311">
      <w:pPr>
        <w:autoSpaceDE w:val="0"/>
        <w:rPr>
          <w:rFonts w:ascii="Verdana" w:eastAsia="Verdana" w:hAnsi="Verdana" w:cs="Verdana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39"/>
        <w:gridCol w:w="4742"/>
      </w:tblGrid>
      <w:tr w:rsidR="000A7311">
        <w:tc>
          <w:tcPr>
            <w:tcW w:w="4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311" w:rsidRDefault="000A7311">
            <w:pPr>
              <w:pStyle w:val="Zawartotabeli"/>
            </w:pPr>
            <w:r>
              <w:rPr>
                <w:rFonts w:ascii="Verdana" w:hAnsi="Verdana" w:cs="Verdana"/>
              </w:rPr>
              <w:t>Nazwa substancji niebezpiecznej:</w:t>
            </w:r>
          </w:p>
        </w:tc>
        <w:tc>
          <w:tcPr>
            <w:tcW w:w="47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7311" w:rsidRDefault="000A7311">
            <w:pPr>
              <w:pStyle w:val="Zawartotabeli"/>
            </w:pPr>
            <w:r>
              <w:rPr>
                <w:rFonts w:ascii="Verdana" w:hAnsi="Verdana" w:cs="Verdana"/>
              </w:rPr>
              <w:t xml:space="preserve">Siarczan sodowy eteru </w:t>
            </w:r>
            <w:proofErr w:type="spellStart"/>
            <w:r>
              <w:rPr>
                <w:rFonts w:ascii="Verdana" w:hAnsi="Verdana" w:cs="Verdana"/>
              </w:rPr>
              <w:t>laurytowego</w:t>
            </w:r>
            <w:proofErr w:type="spellEnd"/>
            <w:r>
              <w:rPr>
                <w:rFonts w:ascii="Verdana" w:hAnsi="Verdana" w:cs="Verdana"/>
              </w:rPr>
              <w:t>*</w:t>
            </w:r>
          </w:p>
        </w:tc>
      </w:tr>
      <w:tr w:rsidR="000A7311">
        <w:tc>
          <w:tcPr>
            <w:tcW w:w="4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311" w:rsidRDefault="000A7311">
            <w:pPr>
              <w:pStyle w:val="Zawartotabeli"/>
            </w:pPr>
            <w:r>
              <w:rPr>
                <w:rFonts w:ascii="Verdana" w:hAnsi="Verdana" w:cs="Verdana"/>
              </w:rPr>
              <w:t>Zakres stężeń [%]:</w:t>
            </w:r>
          </w:p>
        </w:tc>
        <w:tc>
          <w:tcPr>
            <w:tcW w:w="4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7311" w:rsidRDefault="000A7311">
            <w:pPr>
              <w:pStyle w:val="Zawartotabeli"/>
            </w:pPr>
            <w:r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hAnsi="Verdana" w:cs="Verdana"/>
              </w:rPr>
              <w:t>1,4</w:t>
            </w:r>
          </w:p>
        </w:tc>
      </w:tr>
      <w:tr w:rsidR="000A7311">
        <w:tc>
          <w:tcPr>
            <w:tcW w:w="4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311" w:rsidRDefault="000A7311">
            <w:pPr>
              <w:pStyle w:val="Zawartotabeli"/>
            </w:pPr>
            <w:r>
              <w:rPr>
                <w:rFonts w:ascii="Verdana" w:hAnsi="Verdana" w:cs="Verdana"/>
              </w:rPr>
              <w:t>Numer CAS</w:t>
            </w:r>
          </w:p>
        </w:tc>
        <w:tc>
          <w:tcPr>
            <w:tcW w:w="4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7311" w:rsidRDefault="000A7311">
            <w:pPr>
              <w:pStyle w:val="Zawartotabeli"/>
            </w:pPr>
            <w:r>
              <w:rPr>
                <w:rFonts w:ascii="Verdana" w:hAnsi="Verdana" w:cs="Verdana"/>
              </w:rPr>
              <w:t>9004-82-4</w:t>
            </w:r>
          </w:p>
        </w:tc>
      </w:tr>
      <w:tr w:rsidR="000A7311">
        <w:tc>
          <w:tcPr>
            <w:tcW w:w="4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311" w:rsidRDefault="000A7311">
            <w:pPr>
              <w:pStyle w:val="Zawartotabeli"/>
            </w:pPr>
            <w:r>
              <w:rPr>
                <w:rFonts w:ascii="Verdana" w:hAnsi="Verdana" w:cs="Verdana"/>
              </w:rPr>
              <w:t>Numer WE</w:t>
            </w:r>
          </w:p>
        </w:tc>
        <w:tc>
          <w:tcPr>
            <w:tcW w:w="4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7311" w:rsidRDefault="000A7311">
            <w:pPr>
              <w:pStyle w:val="Zawartotabeli"/>
            </w:pPr>
            <w:r>
              <w:rPr>
                <w:rFonts w:ascii="Verdana" w:hAnsi="Verdana" w:cs="Verdana"/>
              </w:rPr>
              <w:t>221-416-0</w:t>
            </w:r>
          </w:p>
        </w:tc>
      </w:tr>
      <w:tr w:rsidR="000A7311">
        <w:tc>
          <w:tcPr>
            <w:tcW w:w="4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311" w:rsidRDefault="000A7311">
            <w:pPr>
              <w:pStyle w:val="Zawartotabeli"/>
            </w:pPr>
            <w:r>
              <w:rPr>
                <w:rFonts w:ascii="Verdana" w:hAnsi="Verdana" w:cs="Verdana"/>
              </w:rPr>
              <w:t>Klasyfikacja 1272/2008/WE:</w:t>
            </w:r>
          </w:p>
        </w:tc>
        <w:tc>
          <w:tcPr>
            <w:tcW w:w="4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7311" w:rsidRPr="00E558F5" w:rsidRDefault="000A7311">
            <w:pPr>
              <w:rPr>
                <w:rFonts w:ascii="Verdana" w:eastAsia="Verdana" w:hAnsi="Verdana" w:cs="Verdana"/>
                <w:lang w:val="en-US"/>
              </w:rPr>
            </w:pPr>
            <w:r w:rsidRPr="00E558F5">
              <w:rPr>
                <w:rFonts w:ascii="Verdana" w:eastAsia="Verdana" w:hAnsi="Verdana" w:cs="Verdana"/>
                <w:lang w:val="en-US"/>
              </w:rPr>
              <w:t>Skin Irrit.2, H315</w:t>
            </w:r>
          </w:p>
          <w:p w:rsidR="000A7311" w:rsidRDefault="000A7311">
            <w:r w:rsidRPr="00E558F5">
              <w:rPr>
                <w:rFonts w:ascii="Verdana" w:eastAsia="Verdana" w:hAnsi="Verdana" w:cs="Verdana"/>
                <w:lang w:val="en-US"/>
              </w:rPr>
              <w:t xml:space="preserve">Eye </w:t>
            </w:r>
            <w:proofErr w:type="spellStart"/>
            <w:r w:rsidRPr="00E558F5">
              <w:rPr>
                <w:rFonts w:ascii="Verdana" w:eastAsia="Verdana" w:hAnsi="Verdana" w:cs="Verdana"/>
                <w:lang w:val="en-US"/>
              </w:rPr>
              <w:t>Irrit</w:t>
            </w:r>
            <w:proofErr w:type="spellEnd"/>
            <w:r w:rsidRPr="00E558F5">
              <w:rPr>
                <w:rFonts w:ascii="Verdana" w:eastAsia="Verdana" w:hAnsi="Verdana" w:cs="Verdana"/>
                <w:lang w:val="en-US"/>
              </w:rPr>
              <w:t xml:space="preserve">. </w:t>
            </w:r>
            <w:r>
              <w:rPr>
                <w:rFonts w:ascii="Verdana" w:eastAsia="Verdana" w:hAnsi="Verdana" w:cs="Verdana"/>
              </w:rPr>
              <w:t>2 H319</w:t>
            </w:r>
          </w:p>
        </w:tc>
      </w:tr>
      <w:tr w:rsidR="000A7311">
        <w:tc>
          <w:tcPr>
            <w:tcW w:w="4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311" w:rsidRDefault="000A7311">
            <w:pPr>
              <w:pStyle w:val="Zawartotabeli"/>
            </w:pPr>
            <w:r>
              <w:rPr>
                <w:rFonts w:ascii="Verdana" w:hAnsi="Verdana" w:cs="Verdana"/>
              </w:rPr>
              <w:t>Numer indeksowy</w:t>
            </w:r>
          </w:p>
        </w:tc>
        <w:tc>
          <w:tcPr>
            <w:tcW w:w="4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7311" w:rsidRDefault="000A7311">
            <w:pPr>
              <w:pStyle w:val="Zawartotabeli"/>
            </w:pPr>
            <w:r>
              <w:rPr>
                <w:rFonts w:ascii="Verdana" w:eastAsia="Verdana" w:hAnsi="Verdana" w:cs="Verdana"/>
              </w:rPr>
              <w:t>Substancja w okresie przejściowym</w:t>
            </w:r>
          </w:p>
        </w:tc>
      </w:tr>
    </w:tbl>
    <w:p w:rsidR="000A7311" w:rsidRDefault="000A7311"/>
    <w:p w:rsidR="000A7311" w:rsidRDefault="000A7311">
      <w:pPr>
        <w:rPr>
          <w:rFonts w:ascii="Verdana" w:hAnsi="Verdana" w:cs="Verdana"/>
        </w:rPr>
      </w:pPr>
      <w:r>
        <w:rPr>
          <w:rFonts w:ascii="Verdana" w:hAnsi="Verdana" w:cs="Verdana"/>
        </w:rPr>
        <w:t>*Substancja nieklasyfikowana w Załączniku VI, Tabeli 3.1 rozporządzenia 1272/2008. Klasyfikacja producenta.</w:t>
      </w:r>
    </w:p>
    <w:p w:rsidR="000A7311" w:rsidRDefault="000A7311">
      <w:r>
        <w:rPr>
          <w:rFonts w:ascii="Verdana" w:hAnsi="Verdana" w:cs="Verdana"/>
        </w:rPr>
        <w:t>W sekcji 16 podano znaczenie zwrotów H oraz symboli.</w:t>
      </w:r>
    </w:p>
    <w:p w:rsidR="000A7311" w:rsidRDefault="000A7311">
      <w:pPr>
        <w:pStyle w:val="Liniapozioma"/>
      </w:pPr>
    </w:p>
    <w:p w:rsidR="000A7311" w:rsidRDefault="000A7311">
      <w:pPr>
        <w:pStyle w:val="Nagwek1"/>
        <w:numPr>
          <w:ilvl w:val="0"/>
          <w:numId w:val="0"/>
        </w:numPr>
        <w:tabs>
          <w:tab w:val="clear" w:pos="1418"/>
          <w:tab w:val="clear" w:pos="2127"/>
          <w:tab w:val="left" w:pos="555"/>
          <w:tab w:val="left" w:pos="1410"/>
        </w:tabs>
        <w:ind w:left="9" w:right="-6" w:hanging="15"/>
        <w:rPr>
          <w:bCs/>
        </w:rPr>
      </w:pPr>
      <w:r>
        <w:t xml:space="preserve">SEKCJA 4: </w:t>
      </w:r>
      <w:r>
        <w:tab/>
        <w:t>ŚRODKI PIERWSZEJ POMOCY</w:t>
      </w:r>
    </w:p>
    <w:p w:rsidR="000A7311" w:rsidRDefault="000A7311">
      <w:pPr>
        <w:pStyle w:val="Liniapozioma"/>
        <w:rPr>
          <w:b/>
          <w:bCs/>
        </w:rPr>
      </w:pPr>
    </w:p>
    <w:p w:rsidR="000A7311" w:rsidRDefault="000A7311">
      <w:pPr>
        <w:ind w:left="-6" w:right="-6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4.1. Opis środków pierwszej pomocy.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Narażenie drogą oddechową:</w:t>
      </w:r>
      <w:r>
        <w:rPr>
          <w:rFonts w:ascii="Verdana" w:eastAsia="Verdana" w:hAnsi="Verdana" w:cs="Verdana"/>
        </w:rPr>
        <w:t xml:space="preserve"> Wynieść poszkodowanego z miejsca narażenia, ułożyć</w:t>
      </w:r>
      <w:r>
        <w:rPr>
          <w:rFonts w:ascii="Verdana" w:eastAsia="Verdana" w:hAnsi="Verdana" w:cs="Verdana"/>
        </w:rPr>
        <w:br/>
        <w:t>w wygodnej pozycji półleżącej lub siedzącej, zapewnić spokój, chronić przed utratą ciepła. Jeżeli wystąpią zaburzenia oddychania, podawać tlen do oddychania. Jeżeli objawy nie ustępują, wezwać lekarza.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Kontakt ze skórą:</w:t>
      </w:r>
      <w:r>
        <w:rPr>
          <w:rFonts w:ascii="Verdana" w:eastAsia="Verdana" w:hAnsi="Verdana" w:cs="Verdana"/>
        </w:rPr>
        <w:t xml:space="preserve"> Obficie zmywać letnią, bieżącą wodą. Zdjąć zanieczyszczoną odzież. Jeśli podrażnienie nie ustępuje, zasięgnąć porady lekarza.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 xml:space="preserve">Kontakt z oczami: </w:t>
      </w:r>
      <w:r>
        <w:rPr>
          <w:rFonts w:ascii="Verdana" w:eastAsia="Verdana" w:hAnsi="Verdana" w:cs="Verdana"/>
        </w:rPr>
        <w:t>Natychmiast płukać dużą ilością letniej wody, najlepiej bieżącej, przez</w:t>
      </w:r>
      <w:r>
        <w:rPr>
          <w:rFonts w:ascii="Verdana" w:eastAsia="Verdana" w:hAnsi="Verdana" w:cs="Verdana"/>
        </w:rPr>
        <w:br/>
        <w:t>co najmniej 15 min. Usunąć szkła kontaktowe. Unikać silnego strumienia wody ze względu na ryzyko mechanicznego uszkodzenia rogówki. Jeżeli podrażnienie nie ustępuje, należy skonsultować się z lekarzem-okulistą.</w:t>
      </w:r>
      <w:r>
        <w:rPr>
          <w:rFonts w:ascii="Verdana" w:eastAsia="Verdana" w:hAnsi="Verdana" w:cs="Verdana"/>
          <w:b/>
          <w:bCs/>
        </w:rPr>
        <w:t xml:space="preserve"> 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Po spożyciu:</w:t>
      </w:r>
      <w:r>
        <w:rPr>
          <w:rFonts w:ascii="Verdana" w:eastAsia="Verdana" w:hAnsi="Verdana" w:cs="Verdana"/>
        </w:rPr>
        <w:t xml:space="preserve"> W przypadku wystąpienia niepokojących objawów zasięgnąć porady lekarskiej.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4.2. Najważniejsze ostre i opóźnione objawy oraz skutki narażenia.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Narażenie drogą oddechową:</w:t>
      </w:r>
      <w:r>
        <w:rPr>
          <w:rFonts w:ascii="Verdana" w:eastAsia="Verdana" w:hAnsi="Verdana" w:cs="Verdana"/>
        </w:rPr>
        <w:t xml:space="preserve"> Brak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 xml:space="preserve">Kontakt ze skórą: </w:t>
      </w:r>
      <w:r>
        <w:rPr>
          <w:rFonts w:ascii="Verdana" w:eastAsia="Verdana" w:hAnsi="Verdana" w:cs="Verdana"/>
        </w:rPr>
        <w:t>W przypadku długotrwałego lub powtarzającego się kontaktu może powodować lekkie podrażnienie skóry.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Kontakt z oczami:</w:t>
      </w:r>
      <w:r>
        <w:rPr>
          <w:rFonts w:ascii="Verdana" w:eastAsia="Verdana" w:hAnsi="Verdana" w:cs="Verdana"/>
        </w:rPr>
        <w:t xml:space="preserve"> Może powodować lekkie zaczerwienienie oczu.</w:t>
      </w:r>
    </w:p>
    <w:p w:rsidR="000A7311" w:rsidRDefault="000A7311">
      <w:pPr>
        <w:autoSpaceDE w:val="0"/>
        <w:ind w:left="-6" w:right="-6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Po spożyciu:</w:t>
      </w:r>
      <w:r>
        <w:rPr>
          <w:rFonts w:ascii="Verdana" w:eastAsia="Verdana" w:hAnsi="Verdana" w:cs="Verdana"/>
        </w:rPr>
        <w:t xml:space="preserve"> Nie powoduje negatywnych skutków zdrowotnych.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4.3. Wskazania dotyczące wszelkiej natychmiastowej pomocy lekarskiej</w:t>
      </w:r>
      <w:r>
        <w:rPr>
          <w:rFonts w:ascii="Verdana" w:eastAsia="Verdana" w:hAnsi="Verdana" w:cs="Verdana"/>
          <w:b/>
          <w:bCs/>
        </w:rPr>
        <w:br/>
        <w:t>i szczególnego postępowania z poszkodowanym.</w:t>
      </w:r>
    </w:p>
    <w:p w:rsidR="000A7311" w:rsidRDefault="000A7311">
      <w:pPr>
        <w:autoSpaceDE w:val="0"/>
        <w:jc w:val="both"/>
      </w:pPr>
      <w:r>
        <w:rPr>
          <w:rFonts w:ascii="Verdana" w:eastAsia="Verdana" w:hAnsi="Verdana" w:cs="Verdana"/>
        </w:rPr>
        <w:lastRenderedPageBreak/>
        <w:t>Wyprowadzić poszkodowaną osobę z zanieczyszczonego produktem środowiska. W razie wystąpienia problemów zdrowotnych, natychmiast skontaktować się z lekarzem lub centrum toksykologicznym. W przypadku długotrwałego narażenia natychmiast zapewnić pomoc lekarską. Przekazać informacje zawarte w karcie charakterystyki. Osobie nieprzytomnej nie podawać niczego doustnie.</w:t>
      </w:r>
    </w:p>
    <w:p w:rsidR="000A7311" w:rsidRDefault="000A7311">
      <w:pPr>
        <w:pStyle w:val="Liniapozioma"/>
      </w:pPr>
    </w:p>
    <w:p w:rsidR="000A7311" w:rsidRDefault="000A7311">
      <w:pPr>
        <w:pStyle w:val="Nagwek1"/>
        <w:numPr>
          <w:ilvl w:val="0"/>
          <w:numId w:val="0"/>
        </w:numPr>
        <w:tabs>
          <w:tab w:val="clear" w:pos="1418"/>
          <w:tab w:val="clear" w:pos="2127"/>
          <w:tab w:val="left" w:pos="555"/>
          <w:tab w:val="left" w:pos="1410"/>
        </w:tabs>
        <w:ind w:left="-6" w:right="-6" w:hanging="15"/>
      </w:pPr>
      <w:r>
        <w:t>SEKCJA 5:</w:t>
      </w:r>
      <w:r>
        <w:tab/>
        <w:t>POSTĘPOWANIE W PRZYPADKU POŻARU</w:t>
      </w:r>
    </w:p>
    <w:p w:rsidR="000A7311" w:rsidRDefault="000A7311">
      <w:pPr>
        <w:pStyle w:val="Liniapozioma"/>
      </w:pPr>
    </w:p>
    <w:p w:rsidR="000A7311" w:rsidRDefault="000A7311">
      <w:pPr>
        <w:tabs>
          <w:tab w:val="left" w:pos="555"/>
          <w:tab w:val="left" w:pos="2837"/>
          <w:tab w:val="left" w:pos="3546"/>
          <w:tab w:val="left" w:pos="4255"/>
          <w:tab w:val="left" w:pos="4964"/>
          <w:tab w:val="left" w:pos="5673"/>
          <w:tab w:val="left" w:pos="6383"/>
          <w:tab w:val="left" w:pos="7092"/>
          <w:tab w:val="left" w:pos="7801"/>
          <w:tab w:val="left" w:pos="8510"/>
          <w:tab w:val="left" w:pos="9219"/>
          <w:tab w:val="left" w:pos="9929"/>
          <w:tab w:val="left" w:pos="10638"/>
        </w:tabs>
        <w:ind w:left="-6" w:right="-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5.1. Środki gaśnicze.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>Odpowiednie środki gaśnicze: Proszki gaśnicze, rozproszony strumień wody.</w:t>
      </w:r>
    </w:p>
    <w:p w:rsidR="000A7311" w:rsidRDefault="000A7311">
      <w:pPr>
        <w:tabs>
          <w:tab w:val="left" w:pos="555"/>
          <w:tab w:val="left" w:pos="2837"/>
          <w:tab w:val="left" w:pos="3546"/>
          <w:tab w:val="left" w:pos="4255"/>
          <w:tab w:val="left" w:pos="4964"/>
          <w:tab w:val="left" w:pos="5673"/>
          <w:tab w:val="left" w:pos="6383"/>
          <w:tab w:val="left" w:pos="7092"/>
          <w:tab w:val="left" w:pos="7801"/>
          <w:tab w:val="left" w:pos="8510"/>
          <w:tab w:val="left" w:pos="9219"/>
          <w:tab w:val="left" w:pos="9929"/>
          <w:tab w:val="left" w:pos="10638"/>
        </w:tabs>
        <w:autoSpaceDE w:val="0"/>
        <w:ind w:left="-6" w:right="-6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 xml:space="preserve">Niewłaściwe środki gaśnicze: </w:t>
      </w:r>
      <w:r>
        <w:rPr>
          <w:rFonts w:ascii="Verdana" w:eastAsia="Verdana" w:hAnsi="Verdana" w:cs="Verdana"/>
        </w:rPr>
        <w:t>Nie określono.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5.2. Szczególne zagrożenia związane z substancją lub mieszaniną.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>Produkt niepalny. Podczas spalania mogą tworzyć się niebezpieczne produkty np. tlenek węgla. Należy unikać wdychania produktów spalania, ponieważ mogą stwarzać zagrożenie dla zdrowia.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5.3. Informacje dla straży pożarnej.</w:t>
      </w:r>
    </w:p>
    <w:p w:rsidR="000A7311" w:rsidRDefault="000A7311">
      <w:pPr>
        <w:autoSpaceDE w:val="0"/>
        <w:jc w:val="both"/>
      </w:pPr>
      <w:r>
        <w:rPr>
          <w:rFonts w:ascii="Verdana" w:eastAsia="Verdana" w:hAnsi="Verdana" w:cs="Verdana"/>
        </w:rPr>
        <w:t>Stosować pełne wyposażenie ochronne oraz aparaty izolujące drogi oddechowe z niezależnym obiegiem powietrza. Pojemniki narażone na działanie ognia lub wysokiej temperatury chłodzić strumieniem rozproszonej wody i w miarę możliwości usunąć z zagrożonego obszaru. Zbierać za pomocą obojętnych materiałów absorbujących. Chronić kanalizację, wody powierzchniowe i glebę przed zanieczyszczeniem.</w:t>
      </w:r>
    </w:p>
    <w:p w:rsidR="000A7311" w:rsidRDefault="000A7311">
      <w:pPr>
        <w:pStyle w:val="Liniapozioma"/>
      </w:pPr>
    </w:p>
    <w:p w:rsidR="00E558F5" w:rsidRDefault="000A7311">
      <w:pPr>
        <w:pStyle w:val="Nagwek1"/>
        <w:numPr>
          <w:ilvl w:val="0"/>
          <w:numId w:val="0"/>
        </w:numPr>
        <w:tabs>
          <w:tab w:val="clear" w:pos="1418"/>
          <w:tab w:val="clear" w:pos="2127"/>
          <w:tab w:val="left" w:pos="1410"/>
        </w:tabs>
        <w:ind w:left="-6" w:right="-6"/>
      </w:pPr>
      <w:r>
        <w:t xml:space="preserve">SEKCJA 6: </w:t>
      </w:r>
      <w:r>
        <w:tab/>
        <w:t xml:space="preserve">POSTĘPOWANIE W PRZYPADKU NIEZAMIERZONEGO UWOLNIENIA </w:t>
      </w:r>
      <w:r>
        <w:tab/>
      </w:r>
    </w:p>
    <w:p w:rsidR="000A7311" w:rsidRDefault="000A7311">
      <w:pPr>
        <w:pStyle w:val="Nagwek1"/>
        <w:numPr>
          <w:ilvl w:val="0"/>
          <w:numId w:val="0"/>
        </w:numPr>
        <w:tabs>
          <w:tab w:val="clear" w:pos="1418"/>
          <w:tab w:val="clear" w:pos="2127"/>
          <w:tab w:val="left" w:pos="1410"/>
        </w:tabs>
        <w:ind w:left="-6" w:right="-6"/>
      </w:pPr>
      <w:r>
        <w:t>DO ŚRODOWISKA</w:t>
      </w:r>
    </w:p>
    <w:p w:rsidR="000A7311" w:rsidRDefault="000A7311">
      <w:pPr>
        <w:pStyle w:val="Liniapozioma"/>
      </w:pPr>
    </w:p>
    <w:p w:rsidR="000A7311" w:rsidRDefault="000A7311">
      <w:pPr>
        <w:tabs>
          <w:tab w:val="left" w:pos="555"/>
          <w:tab w:val="left" w:pos="2837"/>
          <w:tab w:val="left" w:pos="3546"/>
          <w:tab w:val="left" w:pos="4255"/>
          <w:tab w:val="left" w:pos="4964"/>
          <w:tab w:val="left" w:pos="5673"/>
          <w:tab w:val="left" w:pos="6383"/>
          <w:tab w:val="left" w:pos="7092"/>
          <w:tab w:val="left" w:pos="7801"/>
          <w:tab w:val="left" w:pos="8510"/>
          <w:tab w:val="left" w:pos="9219"/>
          <w:tab w:val="left" w:pos="9929"/>
          <w:tab w:val="left" w:pos="10638"/>
        </w:tabs>
        <w:ind w:left="-6" w:right="-6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6.1. Indywidualne środki ostrożności, wyposażenie ochronne i procedury</w:t>
      </w:r>
      <w:r>
        <w:rPr>
          <w:rFonts w:ascii="Verdana" w:eastAsia="Verdana" w:hAnsi="Verdana" w:cs="Verdana"/>
          <w:b/>
          <w:bCs/>
        </w:rPr>
        <w:br/>
        <w:t>w sytuacjach awaryjnych.</w:t>
      </w:r>
    </w:p>
    <w:p w:rsidR="000A7311" w:rsidRDefault="000A7311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Dla osób nienależących do personelu udzielającego pomocy: Należy ograniczyć dostęp osób postronnych do obszaru awarii do czasu zakończenia procesu usuwania produktu. Stosować odpowiednie środki ochrony indywidualnej.</w:t>
      </w:r>
    </w:p>
    <w:p w:rsidR="000A7311" w:rsidRDefault="000A7311">
      <w:pPr>
        <w:tabs>
          <w:tab w:val="left" w:pos="555"/>
          <w:tab w:val="left" w:pos="2837"/>
          <w:tab w:val="left" w:pos="3546"/>
          <w:tab w:val="left" w:pos="4255"/>
          <w:tab w:val="left" w:pos="4964"/>
          <w:tab w:val="left" w:pos="5673"/>
          <w:tab w:val="left" w:pos="6383"/>
          <w:tab w:val="left" w:pos="7092"/>
          <w:tab w:val="left" w:pos="7801"/>
          <w:tab w:val="left" w:pos="8510"/>
          <w:tab w:val="left" w:pos="9219"/>
          <w:tab w:val="left" w:pos="9929"/>
          <w:tab w:val="left" w:pos="10638"/>
        </w:tabs>
        <w:autoSpaceDE w:val="0"/>
        <w:ind w:left="-6" w:right="-6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>Dla osób udzielających pomocy: Stosować odpowiednią odzież ochronną. Nie wdychać oparów.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6.2. Środki ostrożności w zakresie ochrony środowiska.</w:t>
      </w:r>
    </w:p>
    <w:p w:rsidR="000A7311" w:rsidRDefault="000A7311">
      <w:pPr>
        <w:pStyle w:val="Tekstpodstawowywcity21"/>
        <w:tabs>
          <w:tab w:val="clear" w:pos="5103"/>
          <w:tab w:val="left" w:pos="540"/>
        </w:tabs>
        <w:autoSpaceDE w:val="0"/>
        <w:ind w:left="-21" w:right="-6" w:firstLine="0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>W przypadku poważnego zanieczyszczenia jakiegokolwiek elementu środowiska, powiadomić odpowiednie władze administracyjne i kontrolne oraz organizacje ratownicze. Zużyte opakowania dostarczać do uprawnionych przedsiębiorstw.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6.3. Metody i materiały zapobiegające rozprzestrzenianiu się skażenia i służące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do usuwania skażenia.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>Zabezpieczyć uszkodzone opakowania. Rozlany produkt zaabsorbować w chemicznie obojętny materiał wiążący (piasek, ziemia okrzemkowa), przenieść do szczelnie zamykanych pojemników. Zanieczyszczoną powierzchnię spłukać dużą ilością wody.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6.4. Odniesienia do innych sekcji.</w:t>
      </w:r>
    </w:p>
    <w:p w:rsidR="000A7311" w:rsidRDefault="000A7311">
      <w:pPr>
        <w:autoSpaceDE w:val="0"/>
        <w:jc w:val="both"/>
      </w:pPr>
      <w:r>
        <w:rPr>
          <w:rFonts w:ascii="Verdana" w:eastAsia="Verdana" w:hAnsi="Verdana" w:cs="Verdana"/>
        </w:rPr>
        <w:t>Postępowanie z odpadami – patrz sekcja 13. Środki ochrony indywidualnej – patrz sekcja 8.</w:t>
      </w:r>
    </w:p>
    <w:p w:rsidR="000A7311" w:rsidRDefault="000A7311">
      <w:pPr>
        <w:pStyle w:val="Liniapozioma"/>
      </w:pPr>
    </w:p>
    <w:p w:rsidR="000A7311" w:rsidRDefault="000A7311">
      <w:pPr>
        <w:pStyle w:val="Nagwek1"/>
        <w:numPr>
          <w:ilvl w:val="0"/>
          <w:numId w:val="0"/>
        </w:numPr>
        <w:tabs>
          <w:tab w:val="clear" w:pos="1418"/>
          <w:tab w:val="clear" w:pos="2127"/>
          <w:tab w:val="left" w:pos="540"/>
          <w:tab w:val="left" w:pos="1395"/>
        </w:tabs>
        <w:ind w:left="-21" w:right="-6"/>
        <w:rPr>
          <w:bCs/>
        </w:rPr>
      </w:pPr>
      <w:r>
        <w:t>SEKCJA 7:</w:t>
      </w:r>
      <w:r>
        <w:tab/>
        <w:t xml:space="preserve">POSTĘPOWANIE Z SUBSTANCJAMI I MIESZANINAMI ORAZ ICH </w:t>
      </w:r>
      <w:r>
        <w:tab/>
      </w:r>
      <w:r>
        <w:tab/>
      </w:r>
      <w:r>
        <w:tab/>
        <w:t>MAGAZYNOWANIE</w:t>
      </w:r>
    </w:p>
    <w:p w:rsidR="000A7311" w:rsidRDefault="000A7311">
      <w:pPr>
        <w:pStyle w:val="Liniapozioma"/>
        <w:tabs>
          <w:tab w:val="left" w:pos="570"/>
        </w:tabs>
        <w:ind w:left="9" w:right="-6"/>
        <w:rPr>
          <w:b/>
          <w:bCs/>
        </w:rPr>
      </w:pPr>
    </w:p>
    <w:p w:rsidR="000A7311" w:rsidRDefault="000A7311">
      <w:pPr>
        <w:tabs>
          <w:tab w:val="left" w:pos="570"/>
        </w:tabs>
        <w:ind w:left="9" w:right="-6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7.1. Środki ostrożności dotyczące bezpiecznego postępowania.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>Podczas wszelkich, wykonywanych czynności z produktem: nie jeść, nie pić, nie palić,</w:t>
      </w:r>
      <w:r>
        <w:rPr>
          <w:rFonts w:ascii="Verdana" w:eastAsia="Verdana" w:hAnsi="Verdana" w:cs="Verdana"/>
        </w:rPr>
        <w:br/>
        <w:t>nie zażywać lekarstw. Zanieczyszczoną odzież należy zdjąć i oczyścić przed ponownym użyciem. Należy unikać kontaktu z oczami i skórą. Zapewnić odpowiednią wentylację.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7.2. Warunki bezpiecznego magazynowania, łącznie z informacjami dotyczącymi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wszelkich wzajemnych niezgodności.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>Przechowywać we właściwie oznakowanych, fabrycznych, szczelnie zamkniętych opakowaniach, z etykietą w języku polskim zgodną z obowiązującymi przepisami. Przechowywać w suchym, wentylowanym pomieszczeniu, w temperaturze 5</w:t>
      </w:r>
      <w:r>
        <w:rPr>
          <w:rFonts w:ascii="Verdana" w:eastAsia="Verdana" w:hAnsi="Verdana" w:cs="Verdana"/>
          <w:vertAlign w:val="superscript"/>
        </w:rPr>
        <w:t>o</w:t>
      </w:r>
      <w:r>
        <w:rPr>
          <w:rFonts w:ascii="Verdana" w:eastAsia="Verdana" w:hAnsi="Verdana" w:cs="Verdana"/>
        </w:rPr>
        <w:t>C– 25</w:t>
      </w:r>
      <w:r>
        <w:rPr>
          <w:rFonts w:ascii="Verdana" w:eastAsia="Verdana" w:hAnsi="Verdana" w:cs="Verdana"/>
          <w:vertAlign w:val="superscript"/>
        </w:rPr>
        <w:t>o</w:t>
      </w:r>
      <w:r>
        <w:rPr>
          <w:rFonts w:ascii="Verdana" w:eastAsia="Verdana" w:hAnsi="Verdana" w:cs="Verdana"/>
        </w:rPr>
        <w:t>C. Chronić przed bezpośrednim działaniem promieni słonecznych. Chronić przed mrozem.</w:t>
      </w:r>
    </w:p>
    <w:p w:rsidR="000A7311" w:rsidRDefault="000A7311">
      <w:pPr>
        <w:autoSpaceDE w:val="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7.3. Specyficzne zastosowanie(-a) końcowe.</w:t>
      </w:r>
    </w:p>
    <w:p w:rsidR="000A7311" w:rsidRDefault="000A7311">
      <w:pPr>
        <w:tabs>
          <w:tab w:val="left" w:pos="570"/>
        </w:tabs>
        <w:autoSpaceDE w:val="0"/>
        <w:ind w:right="-6"/>
      </w:pPr>
      <w:r>
        <w:rPr>
          <w:rFonts w:ascii="Verdana" w:eastAsia="Verdana" w:hAnsi="Verdana" w:cs="Verdana"/>
        </w:rPr>
        <w:t>Plastyfikator do zapraw.</w:t>
      </w:r>
    </w:p>
    <w:p w:rsidR="000A7311" w:rsidRDefault="000A7311">
      <w:pPr>
        <w:pStyle w:val="Liniapozioma"/>
      </w:pPr>
    </w:p>
    <w:p w:rsidR="000A7311" w:rsidRDefault="000A7311">
      <w:pPr>
        <w:pStyle w:val="Nagwek1"/>
        <w:numPr>
          <w:ilvl w:val="0"/>
          <w:numId w:val="0"/>
        </w:numPr>
        <w:ind w:left="-6" w:right="-6" w:firstLine="15"/>
      </w:pPr>
      <w:r>
        <w:t>SEKCJA 8:</w:t>
      </w:r>
      <w:r>
        <w:tab/>
        <w:t>KONTROLA NARAŻENIA/ŚRODKI OCHRONY INDYWIDUALNEJ</w:t>
      </w:r>
    </w:p>
    <w:p w:rsidR="000A7311" w:rsidRDefault="000A7311">
      <w:pPr>
        <w:pStyle w:val="Liniapozioma"/>
      </w:pPr>
    </w:p>
    <w:p w:rsidR="000A7311" w:rsidRDefault="000A7311">
      <w:pPr>
        <w:tabs>
          <w:tab w:val="left" w:pos="555"/>
          <w:tab w:val="left" w:pos="2127"/>
          <w:tab w:val="left" w:pos="2837"/>
          <w:tab w:val="left" w:pos="3546"/>
          <w:tab w:val="left" w:pos="4255"/>
          <w:tab w:val="left" w:pos="4964"/>
          <w:tab w:val="left" w:pos="5673"/>
          <w:tab w:val="left" w:pos="6383"/>
          <w:tab w:val="left" w:pos="7092"/>
          <w:tab w:val="left" w:pos="7801"/>
          <w:tab w:val="left" w:pos="8510"/>
          <w:tab w:val="left" w:pos="9219"/>
          <w:tab w:val="left" w:pos="9929"/>
          <w:tab w:val="left" w:pos="10638"/>
        </w:tabs>
        <w:ind w:left="-6" w:right="-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8.1. Parametry dotyczące kontroli.</w:t>
      </w:r>
    </w:p>
    <w:p w:rsidR="000A7311" w:rsidRDefault="000A7311">
      <w:pPr>
        <w:tabs>
          <w:tab w:val="left" w:pos="555"/>
          <w:tab w:val="left" w:pos="2127"/>
          <w:tab w:val="left" w:pos="2837"/>
          <w:tab w:val="left" w:pos="3546"/>
          <w:tab w:val="left" w:pos="4255"/>
          <w:tab w:val="left" w:pos="4964"/>
          <w:tab w:val="left" w:pos="5673"/>
          <w:tab w:val="left" w:pos="6383"/>
          <w:tab w:val="left" w:pos="7092"/>
          <w:tab w:val="left" w:pos="7801"/>
          <w:tab w:val="left" w:pos="8510"/>
          <w:tab w:val="left" w:pos="9219"/>
          <w:tab w:val="left" w:pos="9929"/>
          <w:tab w:val="left" w:pos="10638"/>
        </w:tabs>
        <w:ind w:left="-6" w:right="-6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>Nie określono.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Podstawa prawna:</w:t>
      </w:r>
      <w:r>
        <w:rPr>
          <w:rFonts w:ascii="Verdana" w:eastAsia="Verdana" w:hAnsi="Verdana" w:cs="Verdana"/>
        </w:rPr>
        <w:t xml:space="preserve"> Rozporządzenie Ministra Pracy i Polityki Społecznej z dnia 6 czerwca 2014r. w sprawie najwyższych dopuszczalnych stężeń i natężeń czynników szkodliwych dla zdrowia w środowisku pracy (</w:t>
      </w:r>
      <w:proofErr w:type="spellStart"/>
      <w:r>
        <w:rPr>
          <w:rFonts w:ascii="Verdana" w:eastAsia="Verdana" w:hAnsi="Verdana" w:cs="Verdana"/>
        </w:rPr>
        <w:t>Dz.U</w:t>
      </w:r>
      <w:proofErr w:type="spellEnd"/>
      <w:r>
        <w:rPr>
          <w:rFonts w:ascii="Verdana" w:eastAsia="Verdana" w:hAnsi="Verdana" w:cs="Verdana"/>
        </w:rPr>
        <w:t>. 2014r., poz.817)</w:t>
      </w:r>
    </w:p>
    <w:p w:rsidR="000A7311" w:rsidRDefault="000A7311">
      <w:pPr>
        <w:tabs>
          <w:tab w:val="left" w:pos="555"/>
          <w:tab w:val="left" w:pos="2127"/>
          <w:tab w:val="left" w:pos="2837"/>
          <w:tab w:val="left" w:pos="3546"/>
          <w:tab w:val="left" w:pos="4255"/>
          <w:tab w:val="left" w:pos="4964"/>
          <w:tab w:val="left" w:pos="5673"/>
          <w:tab w:val="left" w:pos="6383"/>
          <w:tab w:val="left" w:pos="7092"/>
          <w:tab w:val="left" w:pos="7801"/>
          <w:tab w:val="left" w:pos="8510"/>
          <w:tab w:val="left" w:pos="9219"/>
          <w:tab w:val="left" w:pos="9929"/>
          <w:tab w:val="left" w:pos="10638"/>
        </w:tabs>
        <w:autoSpaceDE w:val="0"/>
        <w:ind w:left="-6" w:right="-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Procedury monitorowania:</w:t>
      </w:r>
    </w:p>
    <w:p w:rsidR="000A7311" w:rsidRDefault="000A7311">
      <w:pPr>
        <w:tabs>
          <w:tab w:val="left" w:pos="555"/>
          <w:tab w:val="left" w:pos="2127"/>
          <w:tab w:val="left" w:pos="2837"/>
          <w:tab w:val="left" w:pos="3546"/>
          <w:tab w:val="left" w:pos="4255"/>
          <w:tab w:val="left" w:pos="4964"/>
          <w:tab w:val="left" w:pos="5673"/>
          <w:tab w:val="left" w:pos="6383"/>
          <w:tab w:val="left" w:pos="7092"/>
          <w:tab w:val="left" w:pos="7801"/>
          <w:tab w:val="left" w:pos="8510"/>
          <w:tab w:val="left" w:pos="9219"/>
          <w:tab w:val="left" w:pos="9929"/>
          <w:tab w:val="left" w:pos="10638"/>
        </w:tabs>
        <w:autoSpaceDE w:val="0"/>
        <w:ind w:left="-6" w:right="-6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>Nie określono.</w:t>
      </w:r>
    </w:p>
    <w:p w:rsidR="000A7311" w:rsidRDefault="000A7311">
      <w:pPr>
        <w:autoSpaceDE w:val="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8.2. Kontrola narażenia.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>Obowiązują przepisy ogólne higieny pracy. Nie dopuszczać do przekraczania w środowisku miejsca pracy stężeń normatywnych niebezpiecznych składników. Po pracy wymyć powierzchnię ciała oraz oczyścić ochrony osobiste. Nie jeść, nie pić, nie palić, nie zażywać leków podczas pracy. Zanieczyszczone ubranie zmienić i oczyścić przed ponownym użyciem. Myć ręce i twarz w przerwach i po pracy z produktem. Zapewnić odpowiednią wentylację.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Ochrona oczu lub twarzy:</w:t>
      </w:r>
      <w:r>
        <w:rPr>
          <w:rFonts w:ascii="Verdana" w:eastAsia="Verdana" w:hAnsi="Verdana" w:cs="Verdana"/>
        </w:rPr>
        <w:t xml:space="preserve"> Stosować okulary ochronne typu gogle, chroniące przed kroplami cieczy(zgodne z EN 166).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 xml:space="preserve">Ochrona skóry: </w:t>
      </w:r>
      <w:r>
        <w:rPr>
          <w:rFonts w:ascii="Verdana" w:eastAsia="Verdana" w:hAnsi="Verdana" w:cs="Verdana"/>
        </w:rPr>
        <w:t>Zazwyczaj nie jest wymagana. Przy operowaniu dużymi ilościami stosować rękawice ochronne (zgodne z EN 374)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Ochrona dróg oddechowych:</w:t>
      </w:r>
      <w:r>
        <w:rPr>
          <w:rFonts w:ascii="Verdana" w:eastAsia="Verdana" w:hAnsi="Verdana" w:cs="Verdana"/>
        </w:rPr>
        <w:t xml:space="preserve"> Zazwyczaj nie jest wymagana. Stosować odpowiednią wentylację w miejscu pracy z produktem.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Zagrożenia termiczne:</w:t>
      </w:r>
      <w:r>
        <w:rPr>
          <w:rFonts w:ascii="Verdana" w:eastAsia="Verdana" w:hAnsi="Verdana" w:cs="Verdana"/>
        </w:rPr>
        <w:t xml:space="preserve"> Brak.</w:t>
      </w:r>
    </w:p>
    <w:p w:rsidR="000A7311" w:rsidRDefault="000A7311">
      <w:pPr>
        <w:autoSpaceDE w:val="0"/>
        <w:rPr>
          <w:rFonts w:ascii="Verdana" w:eastAsia="Verdana" w:hAnsi="Verdana" w:cs="Verdana"/>
        </w:rPr>
      </w:pP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Stosowane środki ochrony indywidualnej powinny spełniać wymagania zawarte</w:t>
      </w:r>
      <w:r>
        <w:rPr>
          <w:rFonts w:ascii="Verdana" w:eastAsia="Verdana" w:hAnsi="Verdana" w:cs="Verdana"/>
        </w:rPr>
        <w:br/>
        <w:t>w rozporządzeniu w sprawie zasadniczych wymagań dla środków ochrony indywidualnej</w:t>
      </w:r>
      <w:r>
        <w:rPr>
          <w:rFonts w:ascii="Verdana" w:eastAsia="Verdana" w:hAnsi="Verdana" w:cs="Verdana"/>
        </w:rPr>
        <w:br/>
        <w:t xml:space="preserve">(Dz. U. z 2005 r., Nr 259, poz. 2173). Pracodawca zobowiązany jest zapewnić środki ochrony </w:t>
      </w:r>
      <w:r>
        <w:rPr>
          <w:rFonts w:ascii="Verdana" w:eastAsia="Verdana" w:hAnsi="Verdana" w:cs="Verdana"/>
        </w:rPr>
        <w:lastRenderedPageBreak/>
        <w:t>indywidualnej właściwe do wykonywanych prac oraz spełniające wszystkie wymagania, w tym ich konserwację i oczyszczanie.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>Należy monitorować stężenie niebezpiecznych substancji w środowisku pracy zgodnie</w:t>
      </w:r>
      <w:r>
        <w:rPr>
          <w:rFonts w:ascii="Verdana" w:eastAsia="Verdana" w:hAnsi="Verdana" w:cs="Verdana"/>
        </w:rPr>
        <w:br/>
        <w:t>z uznanymi metodami badawczymi. Tryb, metody, rodzaj i częstotliwość wykonywania badań i pomiarów czynników szkodliwych dla zdrowia występujących w środowisku pracy powinny spełniać wymagania Rozporządzenia Ministra Zdrowia w sprawie badań i pomiarów czynników szkodliwych dla zdrowia w środowisku pracy (Dz. U. z 2011 r., Nr 33, poz. 166).</w:t>
      </w:r>
    </w:p>
    <w:p w:rsidR="000A7311" w:rsidRDefault="000A7311">
      <w:pPr>
        <w:autoSpaceDE w:val="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Kontrola narażenia środowiska:</w:t>
      </w:r>
      <w:r>
        <w:rPr>
          <w:rFonts w:ascii="Verdana" w:eastAsia="Verdana" w:hAnsi="Verdana" w:cs="Verdana"/>
        </w:rPr>
        <w:t xml:space="preserve"> Nie należy dopuścić do przedostania się dużych ilości</w:t>
      </w:r>
    </w:p>
    <w:p w:rsidR="000A7311" w:rsidRDefault="000A7311">
      <w:pPr>
        <w:tabs>
          <w:tab w:val="left" w:pos="555"/>
          <w:tab w:val="left" w:pos="2127"/>
          <w:tab w:val="left" w:pos="2837"/>
          <w:tab w:val="left" w:pos="3546"/>
          <w:tab w:val="left" w:pos="4255"/>
          <w:tab w:val="left" w:pos="4964"/>
          <w:tab w:val="left" w:pos="5673"/>
          <w:tab w:val="left" w:pos="6383"/>
          <w:tab w:val="left" w:pos="7092"/>
          <w:tab w:val="left" w:pos="7801"/>
          <w:tab w:val="left" w:pos="8510"/>
          <w:tab w:val="left" w:pos="9219"/>
          <w:tab w:val="left" w:pos="9929"/>
          <w:tab w:val="left" w:pos="10638"/>
        </w:tabs>
        <w:autoSpaceDE w:val="0"/>
        <w:ind w:left="-6" w:right="-6"/>
      </w:pPr>
      <w:r>
        <w:rPr>
          <w:rFonts w:ascii="Verdana" w:eastAsia="Verdana" w:hAnsi="Verdana" w:cs="Verdana"/>
        </w:rPr>
        <w:t>produktu do wód gruntowych, kanalizacji, ścieków lub gleby.</w:t>
      </w:r>
    </w:p>
    <w:p w:rsidR="000A7311" w:rsidRDefault="000A7311">
      <w:pPr>
        <w:tabs>
          <w:tab w:val="left" w:pos="555"/>
          <w:tab w:val="left" w:pos="2127"/>
          <w:tab w:val="left" w:pos="2837"/>
          <w:tab w:val="left" w:pos="3546"/>
          <w:tab w:val="left" w:pos="4255"/>
          <w:tab w:val="left" w:pos="4964"/>
          <w:tab w:val="left" w:pos="5673"/>
          <w:tab w:val="left" w:pos="6383"/>
          <w:tab w:val="left" w:pos="7092"/>
          <w:tab w:val="left" w:pos="7801"/>
          <w:tab w:val="left" w:pos="8510"/>
          <w:tab w:val="left" w:pos="9219"/>
          <w:tab w:val="left" w:pos="9929"/>
          <w:tab w:val="left" w:pos="10638"/>
        </w:tabs>
        <w:ind w:left="-6" w:right="-6"/>
      </w:pPr>
    </w:p>
    <w:p w:rsidR="000A7311" w:rsidRDefault="000A7311">
      <w:pPr>
        <w:pStyle w:val="Liniapozioma"/>
      </w:pPr>
    </w:p>
    <w:p w:rsidR="000A7311" w:rsidRDefault="000A7311">
      <w:pPr>
        <w:pStyle w:val="Nagwek1"/>
        <w:numPr>
          <w:ilvl w:val="0"/>
          <w:numId w:val="0"/>
        </w:numPr>
        <w:tabs>
          <w:tab w:val="clear" w:pos="1418"/>
          <w:tab w:val="left" w:pos="1410"/>
        </w:tabs>
        <w:ind w:left="-6" w:right="-6"/>
      </w:pPr>
      <w:r>
        <w:t>SEKCJA 9:</w:t>
      </w:r>
      <w:r>
        <w:tab/>
        <w:t>WŁAŚCIWOŚCI FIZYCZNE I CHEMICZNE</w:t>
      </w:r>
    </w:p>
    <w:p w:rsidR="000A7311" w:rsidRDefault="000A7311">
      <w:pPr>
        <w:pStyle w:val="Liniapozioma"/>
      </w:pPr>
    </w:p>
    <w:p w:rsidR="000A7311" w:rsidRDefault="000A7311">
      <w:pPr>
        <w:pStyle w:val="Nagwek2"/>
        <w:numPr>
          <w:ilvl w:val="0"/>
          <w:numId w:val="0"/>
        </w:numPr>
        <w:tabs>
          <w:tab w:val="clear" w:pos="1418"/>
          <w:tab w:val="left" w:pos="555"/>
        </w:tabs>
        <w:ind w:left="-6" w:right="-6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9.1.</w:t>
      </w:r>
      <w:r>
        <w:rPr>
          <w:rFonts w:ascii="Verdana" w:hAnsi="Verdana" w:cs="Verdana"/>
          <w:b/>
          <w:bCs/>
          <w:sz w:val="20"/>
        </w:rPr>
        <w:tab/>
        <w:t>Informacje na temat podstawowych właściwości fizycznych i chemicznych.</w:t>
      </w:r>
    </w:p>
    <w:p w:rsidR="000A7311" w:rsidRDefault="000A7311">
      <w:pPr>
        <w:pStyle w:val="Nagwek3"/>
        <w:numPr>
          <w:ilvl w:val="0"/>
          <w:numId w:val="0"/>
        </w:numPr>
        <w:tabs>
          <w:tab w:val="clear" w:pos="9128"/>
          <w:tab w:val="left" w:pos="555"/>
          <w:tab w:val="left" w:pos="2127"/>
          <w:tab w:val="left" w:pos="2837"/>
          <w:tab w:val="left" w:pos="3546"/>
          <w:tab w:val="left" w:pos="4255"/>
          <w:tab w:val="left" w:pos="4964"/>
          <w:tab w:val="left" w:pos="5673"/>
          <w:tab w:val="left" w:pos="6383"/>
          <w:tab w:val="left" w:pos="7092"/>
          <w:tab w:val="left" w:pos="7801"/>
          <w:tab w:val="left" w:pos="8510"/>
          <w:tab w:val="left" w:pos="9219"/>
          <w:tab w:val="left" w:pos="9929"/>
          <w:tab w:val="left" w:pos="10638"/>
        </w:tabs>
        <w:ind w:right="0" w:firstLine="567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Wygląd:</w:t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 xml:space="preserve"> Brunatna ciecz</w:t>
      </w:r>
    </w:p>
    <w:p w:rsidR="000A7311" w:rsidRDefault="000A7311">
      <w:pPr>
        <w:pStyle w:val="Nagwek3"/>
        <w:tabs>
          <w:tab w:val="clear" w:pos="9128"/>
          <w:tab w:val="left" w:pos="5040"/>
          <w:tab w:val="left" w:pos="10638"/>
        </w:tabs>
        <w:ind w:left="565" w:right="145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Zapach:    </w:t>
      </w:r>
      <w:r>
        <w:rPr>
          <w:rFonts w:ascii="Verdana" w:hAnsi="Verdana" w:cs="Verdana"/>
          <w:sz w:val="20"/>
        </w:rPr>
        <w:tab/>
      </w:r>
      <w:proofErr w:type="spellStart"/>
      <w:r>
        <w:rPr>
          <w:rFonts w:ascii="Verdana" w:hAnsi="Verdana" w:cs="Verdana"/>
          <w:sz w:val="20"/>
        </w:rPr>
        <w:t>Charakterysyczny</w:t>
      </w:r>
      <w:proofErr w:type="spellEnd"/>
      <w:r>
        <w:rPr>
          <w:rFonts w:ascii="Verdana" w:hAnsi="Verdana" w:cs="Verdana"/>
          <w:sz w:val="20"/>
        </w:rPr>
        <w:tab/>
      </w:r>
    </w:p>
    <w:p w:rsidR="000A7311" w:rsidRDefault="000A7311">
      <w:pPr>
        <w:ind w:left="567"/>
        <w:rPr>
          <w:rFonts w:ascii="Verdana" w:hAnsi="Verdana" w:cs="Verdana"/>
        </w:rPr>
      </w:pPr>
      <w:r>
        <w:rPr>
          <w:rFonts w:ascii="Verdana" w:hAnsi="Verdana" w:cs="Verdana"/>
        </w:rPr>
        <w:t>Próg zapachu: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Nie dotyczy</w:t>
      </w:r>
    </w:p>
    <w:p w:rsidR="000A7311" w:rsidRDefault="000A7311">
      <w:pPr>
        <w:ind w:left="567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pH</w:t>
      </w:r>
      <w:proofErr w:type="spellEnd"/>
      <w:r>
        <w:rPr>
          <w:rFonts w:ascii="Verdana" w:hAnsi="Verdana" w:cs="Verdana"/>
        </w:rPr>
        <w:t>: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5,5-6,5 w 20</w:t>
      </w:r>
      <w:r>
        <w:rPr>
          <w:rFonts w:ascii="Verdana" w:hAnsi="Verdana" w:cs="Verdana"/>
          <w:vertAlign w:val="superscript"/>
        </w:rPr>
        <w:t>o</w:t>
      </w:r>
      <w:r>
        <w:rPr>
          <w:rFonts w:ascii="Verdana" w:hAnsi="Verdana" w:cs="Verdana"/>
        </w:rPr>
        <w:t>C</w:t>
      </w:r>
    </w:p>
    <w:p w:rsidR="000A7311" w:rsidRDefault="000A7311">
      <w:pPr>
        <w:ind w:left="567"/>
        <w:rPr>
          <w:rFonts w:ascii="Verdana" w:hAnsi="Verdana" w:cs="Verdana"/>
        </w:rPr>
      </w:pPr>
      <w:r>
        <w:rPr>
          <w:rFonts w:ascii="Verdana" w:hAnsi="Verdana" w:cs="Verdana"/>
        </w:rPr>
        <w:t>Temperatura topnienia/krzepnięcia: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Nie określono</w:t>
      </w:r>
    </w:p>
    <w:p w:rsidR="000A7311" w:rsidRDefault="000A7311">
      <w:pPr>
        <w:ind w:left="567"/>
        <w:rPr>
          <w:rFonts w:ascii="Verdana" w:hAnsi="Verdana" w:cs="Verdana"/>
        </w:rPr>
      </w:pPr>
      <w:r>
        <w:rPr>
          <w:rFonts w:ascii="Verdana" w:hAnsi="Verdana" w:cs="Verdana"/>
        </w:rPr>
        <w:t>Początkowa temperatura wrzenia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Nie określono</w:t>
      </w:r>
    </w:p>
    <w:p w:rsidR="000A7311" w:rsidRDefault="000A7311">
      <w:pPr>
        <w:ind w:left="567"/>
        <w:rPr>
          <w:rFonts w:ascii="Verdana" w:hAnsi="Verdana" w:cs="Verdana"/>
        </w:rPr>
      </w:pPr>
      <w:r>
        <w:rPr>
          <w:rFonts w:ascii="Verdana" w:hAnsi="Verdana" w:cs="Verdana"/>
        </w:rPr>
        <w:t>i zakres temperatur wrzenia: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Nie określono</w:t>
      </w:r>
    </w:p>
    <w:p w:rsidR="000A7311" w:rsidRDefault="000A7311">
      <w:pPr>
        <w:ind w:left="567"/>
        <w:rPr>
          <w:rFonts w:ascii="Verdana" w:hAnsi="Verdana" w:cs="Verdana"/>
        </w:rPr>
      </w:pPr>
      <w:r>
        <w:rPr>
          <w:rFonts w:ascii="Verdana" w:hAnsi="Verdana" w:cs="Verdana"/>
        </w:rPr>
        <w:t>Temperatura zapłonu: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Nie określono</w:t>
      </w:r>
    </w:p>
    <w:p w:rsidR="000A7311" w:rsidRDefault="000A7311">
      <w:pPr>
        <w:ind w:left="567"/>
        <w:rPr>
          <w:rFonts w:ascii="Verdana" w:hAnsi="Verdana" w:cs="Verdana"/>
        </w:rPr>
      </w:pPr>
      <w:r>
        <w:rPr>
          <w:rFonts w:ascii="Verdana" w:hAnsi="Verdana" w:cs="Verdana"/>
        </w:rPr>
        <w:t>Szybkość parowania: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Nie określono</w:t>
      </w:r>
    </w:p>
    <w:p w:rsidR="000A7311" w:rsidRDefault="000A7311">
      <w:pPr>
        <w:ind w:left="567"/>
        <w:rPr>
          <w:rFonts w:ascii="Verdana" w:hAnsi="Verdana" w:cs="Verdana"/>
        </w:rPr>
      </w:pPr>
      <w:r>
        <w:rPr>
          <w:rFonts w:ascii="Verdana" w:hAnsi="Verdana" w:cs="Verdana"/>
        </w:rPr>
        <w:t>Palność: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Nie palny</w:t>
      </w:r>
    </w:p>
    <w:p w:rsidR="000A7311" w:rsidRDefault="000A7311">
      <w:pPr>
        <w:ind w:left="567"/>
        <w:rPr>
          <w:rFonts w:ascii="Verdana" w:hAnsi="Verdana" w:cs="Verdana"/>
        </w:rPr>
      </w:pPr>
      <w:r>
        <w:rPr>
          <w:rFonts w:ascii="Verdana" w:hAnsi="Verdana" w:cs="Verdana"/>
        </w:rPr>
        <w:t>Górna/dolna granica wybuchowości: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Nie stwarza zagrożenia wybuchowego</w:t>
      </w:r>
    </w:p>
    <w:p w:rsidR="000A7311" w:rsidRDefault="000A7311">
      <w:pPr>
        <w:ind w:left="567"/>
        <w:rPr>
          <w:rFonts w:ascii="Verdana" w:hAnsi="Verdana" w:cs="Verdana"/>
        </w:rPr>
      </w:pPr>
      <w:r>
        <w:rPr>
          <w:rFonts w:ascii="Verdana" w:hAnsi="Verdana" w:cs="Verdana"/>
        </w:rPr>
        <w:t>Prężność par: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Nie określono</w:t>
      </w:r>
    </w:p>
    <w:p w:rsidR="000A7311" w:rsidRDefault="000A7311">
      <w:pPr>
        <w:ind w:left="567"/>
        <w:rPr>
          <w:rFonts w:ascii="Verdana" w:hAnsi="Verdana" w:cs="Verdana"/>
        </w:rPr>
      </w:pPr>
      <w:r>
        <w:rPr>
          <w:rFonts w:ascii="Verdana" w:hAnsi="Verdana" w:cs="Verdana"/>
        </w:rPr>
        <w:t>Gęstość względna: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1,05g/cm</w:t>
      </w:r>
      <w:r>
        <w:rPr>
          <w:vertAlign w:val="superscript"/>
        </w:rPr>
        <w:t>3</w:t>
      </w:r>
      <w:r>
        <w:rPr>
          <w:rFonts w:ascii="Verdana" w:hAnsi="Verdana" w:cs="Verdana"/>
        </w:rPr>
        <w:t xml:space="preserve"> w 20</w:t>
      </w:r>
      <w:r>
        <w:rPr>
          <w:rFonts w:ascii="Verdana" w:hAnsi="Verdana" w:cs="Verdana"/>
          <w:vertAlign w:val="superscript"/>
        </w:rPr>
        <w:t>o</w:t>
      </w:r>
      <w:r>
        <w:rPr>
          <w:rFonts w:ascii="Verdana" w:hAnsi="Verdana" w:cs="Verdana"/>
        </w:rPr>
        <w:t>C</w:t>
      </w:r>
    </w:p>
    <w:p w:rsidR="000A7311" w:rsidRDefault="000A7311">
      <w:pPr>
        <w:ind w:left="567"/>
        <w:rPr>
          <w:rFonts w:ascii="Verdana" w:hAnsi="Verdana" w:cs="Verdana"/>
        </w:rPr>
      </w:pPr>
      <w:r>
        <w:rPr>
          <w:rFonts w:ascii="Verdana" w:hAnsi="Verdana" w:cs="Verdana"/>
        </w:rPr>
        <w:t>Rozpuszczalność: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Rozpuszcza się w wodzie</w:t>
      </w:r>
    </w:p>
    <w:p w:rsidR="000A7311" w:rsidRDefault="000A7311">
      <w:pPr>
        <w:ind w:left="567"/>
        <w:rPr>
          <w:rFonts w:ascii="Verdana" w:hAnsi="Verdana" w:cs="Verdana"/>
        </w:rPr>
      </w:pPr>
      <w:r>
        <w:rPr>
          <w:rFonts w:ascii="Verdana" w:hAnsi="Verdana" w:cs="Verdana"/>
        </w:rPr>
        <w:t xml:space="preserve">Współczynnik podziału: </w:t>
      </w:r>
      <w:proofErr w:type="spellStart"/>
      <w:r>
        <w:rPr>
          <w:rFonts w:ascii="Verdana" w:hAnsi="Verdana" w:cs="Verdana"/>
        </w:rPr>
        <w:t>n-oktanol</w:t>
      </w:r>
      <w:proofErr w:type="spellEnd"/>
      <w:r>
        <w:rPr>
          <w:rFonts w:ascii="Verdana" w:hAnsi="Verdana" w:cs="Verdana"/>
        </w:rPr>
        <w:t>/woda:</w:t>
      </w:r>
      <w:r>
        <w:rPr>
          <w:rFonts w:ascii="Verdana" w:hAnsi="Verdana" w:cs="Verdana"/>
        </w:rPr>
        <w:tab/>
        <w:t>Nie określono</w:t>
      </w:r>
    </w:p>
    <w:p w:rsidR="000A7311" w:rsidRDefault="000A7311">
      <w:pPr>
        <w:ind w:left="567"/>
        <w:rPr>
          <w:rFonts w:ascii="Verdana" w:hAnsi="Verdana" w:cs="Verdana"/>
        </w:rPr>
      </w:pPr>
      <w:r>
        <w:rPr>
          <w:rFonts w:ascii="Verdana" w:hAnsi="Verdana" w:cs="Verdana"/>
        </w:rPr>
        <w:t>Temperatura samozapłonu: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Nie dotyczy</w:t>
      </w:r>
    </w:p>
    <w:p w:rsidR="000A7311" w:rsidRDefault="000A7311">
      <w:pPr>
        <w:ind w:left="567"/>
        <w:rPr>
          <w:rFonts w:ascii="Verdana" w:hAnsi="Verdana" w:cs="Verdana"/>
        </w:rPr>
      </w:pPr>
      <w:r>
        <w:rPr>
          <w:rFonts w:ascii="Verdana" w:hAnsi="Verdana" w:cs="Verdana"/>
        </w:rPr>
        <w:t>Temperatura rozkładu: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Nie określono</w:t>
      </w:r>
    </w:p>
    <w:p w:rsidR="000A7311" w:rsidRDefault="000A7311">
      <w:pPr>
        <w:ind w:left="567"/>
        <w:rPr>
          <w:rFonts w:ascii="Verdana" w:hAnsi="Verdana" w:cs="Verdana"/>
        </w:rPr>
      </w:pPr>
      <w:r>
        <w:rPr>
          <w:rFonts w:ascii="Verdana" w:hAnsi="Verdana" w:cs="Verdana"/>
        </w:rPr>
        <w:t>Lepkość: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Nie określono</w:t>
      </w:r>
    </w:p>
    <w:p w:rsidR="000A7311" w:rsidRDefault="000A7311">
      <w:pPr>
        <w:ind w:left="567"/>
        <w:rPr>
          <w:rFonts w:ascii="Verdana" w:hAnsi="Verdana" w:cs="Verdana"/>
        </w:rPr>
      </w:pPr>
      <w:r>
        <w:rPr>
          <w:rFonts w:ascii="Verdana" w:hAnsi="Verdana" w:cs="Verdana"/>
        </w:rPr>
        <w:t>Właściwości wybuchowe: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Produkt nie jest wybuchowy</w:t>
      </w:r>
    </w:p>
    <w:p w:rsidR="000A7311" w:rsidRDefault="000A7311">
      <w:pPr>
        <w:ind w:left="567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>Właściwości utleniające: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Nie określono</w:t>
      </w:r>
    </w:p>
    <w:p w:rsidR="000A7311" w:rsidRDefault="000A7311">
      <w:pPr>
        <w:pStyle w:val="Nagwek2"/>
        <w:numPr>
          <w:ilvl w:val="0"/>
          <w:numId w:val="0"/>
        </w:numPr>
        <w:tabs>
          <w:tab w:val="clear" w:pos="1418"/>
          <w:tab w:val="left" w:pos="540"/>
        </w:tabs>
        <w:ind w:left="-6" w:right="-6" w:hanging="15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9.2.</w:t>
      </w:r>
      <w:r>
        <w:rPr>
          <w:rFonts w:ascii="Verdana" w:hAnsi="Verdana" w:cs="Verdana"/>
          <w:b/>
          <w:bCs/>
          <w:sz w:val="20"/>
        </w:rPr>
        <w:tab/>
        <w:t>Inne informacje.</w:t>
      </w:r>
    </w:p>
    <w:p w:rsidR="000A7311" w:rsidRDefault="000A7311">
      <w:pPr>
        <w:ind w:firstLine="624"/>
      </w:pPr>
      <w:r>
        <w:rPr>
          <w:rFonts w:ascii="Verdana" w:hAnsi="Verdana" w:cs="Verdana"/>
        </w:rPr>
        <w:t xml:space="preserve">Brak. </w:t>
      </w:r>
    </w:p>
    <w:p w:rsidR="000A7311" w:rsidRDefault="000A7311">
      <w:pPr>
        <w:pStyle w:val="Liniapozioma"/>
      </w:pPr>
    </w:p>
    <w:p w:rsidR="000A7311" w:rsidRDefault="000A7311">
      <w:pPr>
        <w:pStyle w:val="Nagwek1"/>
        <w:numPr>
          <w:ilvl w:val="0"/>
          <w:numId w:val="0"/>
        </w:numPr>
        <w:ind w:left="-6" w:right="-6" w:firstLine="15"/>
      </w:pPr>
      <w:r>
        <w:t>SEKCJA 10:</w:t>
      </w:r>
      <w:r>
        <w:tab/>
        <w:t>STABILNOŚĆ i REAKTYWNOŚĆ</w:t>
      </w:r>
    </w:p>
    <w:p w:rsidR="000A7311" w:rsidRDefault="000A7311">
      <w:pPr>
        <w:pStyle w:val="Liniapozioma"/>
      </w:pPr>
    </w:p>
    <w:p w:rsidR="000A7311" w:rsidRDefault="000A7311">
      <w:pPr>
        <w:pStyle w:val="Nagwek2"/>
        <w:numPr>
          <w:ilvl w:val="0"/>
          <w:numId w:val="0"/>
        </w:numPr>
        <w:tabs>
          <w:tab w:val="clear" w:pos="1418"/>
          <w:tab w:val="left" w:pos="540"/>
        </w:tabs>
        <w:ind w:left="-6" w:right="-6" w:hanging="15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10.1.Reaktywność.</w:t>
      </w:r>
    </w:p>
    <w:p w:rsidR="000A7311" w:rsidRDefault="000A7311">
      <w:pPr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>W normalnych warunkach stosowania i przechowywania produkt</w:t>
      </w:r>
      <w:r>
        <w:rPr>
          <w:rFonts w:ascii="Verdana" w:hAnsi="Verdana" w:cs="Verdana"/>
          <w:b/>
          <w:bCs/>
        </w:rPr>
        <w:t xml:space="preserve"> </w:t>
      </w:r>
      <w:r>
        <w:rPr>
          <w:rFonts w:ascii="Verdana" w:hAnsi="Verdana" w:cs="Verdana"/>
        </w:rPr>
        <w:t>nie jest reaktywny chemicznie.</w:t>
      </w:r>
    </w:p>
    <w:p w:rsidR="000A7311" w:rsidRDefault="000A7311">
      <w:pPr>
        <w:pStyle w:val="Nagwek2"/>
        <w:numPr>
          <w:ilvl w:val="0"/>
          <w:numId w:val="0"/>
        </w:numPr>
        <w:tabs>
          <w:tab w:val="clear" w:pos="1418"/>
          <w:tab w:val="left" w:pos="540"/>
        </w:tabs>
        <w:ind w:left="-6" w:right="-6" w:hanging="15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lastRenderedPageBreak/>
        <w:t>10.2.Stabilność chemiczna.</w:t>
      </w:r>
    </w:p>
    <w:p w:rsidR="000A7311" w:rsidRDefault="000A7311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>Produkt w warunkach prawidłowego przechowywania jest stabilny chemicznie.</w:t>
      </w:r>
    </w:p>
    <w:p w:rsidR="000A7311" w:rsidRDefault="000A7311">
      <w:pPr>
        <w:pStyle w:val="Nagwek2"/>
        <w:numPr>
          <w:ilvl w:val="0"/>
          <w:numId w:val="0"/>
        </w:numPr>
        <w:tabs>
          <w:tab w:val="clear" w:pos="1418"/>
          <w:tab w:val="left" w:pos="555"/>
        </w:tabs>
        <w:ind w:left="-6" w:right="-6" w:hanging="15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10.3.Możliwość występowania niebezpiecznych reakcji.</w:t>
      </w:r>
    </w:p>
    <w:p w:rsidR="000A7311" w:rsidRDefault="000A7311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>Nie określono.</w:t>
      </w:r>
    </w:p>
    <w:p w:rsidR="000A7311" w:rsidRDefault="000A7311">
      <w:pPr>
        <w:pStyle w:val="Nagwek2"/>
        <w:numPr>
          <w:ilvl w:val="0"/>
          <w:numId w:val="0"/>
        </w:numPr>
        <w:tabs>
          <w:tab w:val="clear" w:pos="1418"/>
          <w:tab w:val="left" w:pos="555"/>
        </w:tabs>
        <w:ind w:left="3" w:right="-6" w:hanging="15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10.4.Warunki, których należy unikać.</w:t>
      </w:r>
    </w:p>
    <w:p w:rsidR="000A7311" w:rsidRDefault="000A7311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>Chronić przed bezpośrednim działaniem promieni słonecznych, chronić przed mrozem.</w:t>
      </w:r>
    </w:p>
    <w:p w:rsidR="000A7311" w:rsidRDefault="000A7311">
      <w:pPr>
        <w:pStyle w:val="Nagwek2"/>
        <w:numPr>
          <w:ilvl w:val="0"/>
          <w:numId w:val="0"/>
        </w:numPr>
        <w:tabs>
          <w:tab w:val="clear" w:pos="1418"/>
          <w:tab w:val="left" w:pos="555"/>
        </w:tabs>
        <w:ind w:left="3" w:right="-6" w:hanging="15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10.5.Materiały niezgodne.</w:t>
      </w:r>
    </w:p>
    <w:p w:rsidR="000A7311" w:rsidRDefault="000A7311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>Nie określono.</w:t>
      </w:r>
    </w:p>
    <w:p w:rsidR="000A7311" w:rsidRDefault="000A7311">
      <w:pPr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10.6.Niebezpieczne produkty rozpadu.</w:t>
      </w:r>
    </w:p>
    <w:p w:rsidR="000A7311" w:rsidRDefault="000A7311">
      <w:r>
        <w:rPr>
          <w:rFonts w:ascii="Verdana" w:hAnsi="Verdana" w:cs="Verdana"/>
        </w:rPr>
        <w:t>Brak.</w:t>
      </w:r>
    </w:p>
    <w:p w:rsidR="000A7311" w:rsidRDefault="000A7311">
      <w:pPr>
        <w:pStyle w:val="Liniapozioma"/>
      </w:pPr>
    </w:p>
    <w:p w:rsidR="000A7311" w:rsidRDefault="000A7311">
      <w:pPr>
        <w:pStyle w:val="Nagwek1"/>
        <w:numPr>
          <w:ilvl w:val="0"/>
          <w:numId w:val="0"/>
        </w:numPr>
        <w:ind w:left="-6" w:right="-6" w:hanging="15"/>
      </w:pPr>
      <w:r>
        <w:t>SEKCJA 11:</w:t>
      </w:r>
      <w:r>
        <w:tab/>
        <w:t>INFORMACJE TOKSYKOLOGICZNE</w:t>
      </w:r>
    </w:p>
    <w:p w:rsidR="000A7311" w:rsidRDefault="000A7311">
      <w:pPr>
        <w:pStyle w:val="Liniapozioma"/>
      </w:pPr>
    </w:p>
    <w:p w:rsidR="000A7311" w:rsidRDefault="000A7311">
      <w:pPr>
        <w:pStyle w:val="Nagwek2"/>
        <w:numPr>
          <w:ilvl w:val="0"/>
          <w:numId w:val="0"/>
        </w:numPr>
        <w:tabs>
          <w:tab w:val="clear" w:pos="1418"/>
          <w:tab w:val="left" w:pos="540"/>
        </w:tabs>
        <w:ind w:left="-6" w:right="-6" w:hanging="15"/>
        <w:jc w:val="both"/>
        <w:rPr>
          <w:rFonts w:ascii="Verdana" w:eastAsia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>11.1. Informacje dotyczące skutków toksykologicznych.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 xml:space="preserve">Toksyczność ostra: </w:t>
      </w:r>
      <w:r>
        <w:rPr>
          <w:rFonts w:ascii="Verdana" w:eastAsia="Verdana" w:hAnsi="Verdana" w:cs="Verdana"/>
        </w:rPr>
        <w:t>W oparciu o dostępne dane kryteria klasyfikacji nie są spełnione.</w:t>
      </w:r>
      <w:r>
        <w:rPr>
          <w:rFonts w:ascii="Verdana" w:eastAsia="Verdana" w:hAnsi="Verdana" w:cs="Verdana"/>
          <w:b/>
          <w:bCs/>
        </w:rPr>
        <w:t xml:space="preserve"> 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Działanie żrące/drażniące na skórę:</w:t>
      </w:r>
      <w:r>
        <w:rPr>
          <w:rFonts w:ascii="Verdana" w:eastAsia="Verdana" w:hAnsi="Verdana" w:cs="Verdana"/>
        </w:rPr>
        <w:t xml:space="preserve"> W oparciu o dostępne dane kryteria klasyfikacji nie są spełnione.</w:t>
      </w:r>
      <w:r>
        <w:rPr>
          <w:rFonts w:ascii="Verdana" w:eastAsia="Verdana" w:hAnsi="Verdana" w:cs="Verdana"/>
          <w:b/>
          <w:bCs/>
        </w:rPr>
        <w:t xml:space="preserve"> 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 xml:space="preserve">Poważne uszkodzenie oczu/działanie drażniące na oczy: </w:t>
      </w:r>
      <w:r>
        <w:rPr>
          <w:rFonts w:ascii="Verdana" w:eastAsia="Verdana" w:hAnsi="Verdana" w:cs="Verdana"/>
        </w:rPr>
        <w:t>W oparciu o dostępne dane kryteria klasyfikacji nie są spełnione.</w:t>
      </w:r>
      <w:r>
        <w:rPr>
          <w:rFonts w:ascii="Verdana" w:eastAsia="Verdana" w:hAnsi="Verdana" w:cs="Verdana"/>
          <w:b/>
          <w:bCs/>
        </w:rPr>
        <w:t xml:space="preserve"> 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Działanie uczulające na drogi oddechowe lub skórę:</w:t>
      </w:r>
      <w:r>
        <w:rPr>
          <w:rFonts w:ascii="Verdana" w:eastAsia="Verdana" w:hAnsi="Verdana" w:cs="Verdana"/>
        </w:rPr>
        <w:t xml:space="preserve"> W oparciu o dostępne dane kryteria klasyfikacji nie są spełnione.</w:t>
      </w:r>
      <w:r>
        <w:rPr>
          <w:rFonts w:ascii="Verdana" w:eastAsia="Verdana" w:hAnsi="Verdana" w:cs="Verdana"/>
          <w:b/>
          <w:bCs/>
        </w:rPr>
        <w:t xml:space="preserve"> 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 xml:space="preserve">Działanie mutagenne na komórki rozrodcze: </w:t>
      </w:r>
      <w:r>
        <w:rPr>
          <w:rFonts w:ascii="Verdana" w:eastAsia="Verdana" w:hAnsi="Verdana" w:cs="Verdana"/>
        </w:rPr>
        <w:t>W oparciu o dostępne dane kryteria klasyfikacji nie są spełnione.</w:t>
      </w:r>
      <w:r>
        <w:rPr>
          <w:rFonts w:ascii="Verdana" w:eastAsia="Verdana" w:hAnsi="Verdana" w:cs="Verdana"/>
          <w:b/>
          <w:bCs/>
        </w:rPr>
        <w:t xml:space="preserve"> 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 xml:space="preserve">Działanie rakotwórcze: </w:t>
      </w:r>
      <w:r>
        <w:rPr>
          <w:rFonts w:ascii="Verdana" w:eastAsia="Verdana" w:hAnsi="Verdana" w:cs="Verdana"/>
        </w:rPr>
        <w:t>W oparciu o dostępne dane kryteria klasyfikacji nie są spełnione.</w:t>
      </w:r>
      <w:r>
        <w:rPr>
          <w:rFonts w:ascii="Verdana" w:eastAsia="Verdana" w:hAnsi="Verdana" w:cs="Verdana"/>
          <w:b/>
          <w:bCs/>
        </w:rPr>
        <w:t xml:space="preserve"> 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Szkodliwe działanie na rozrodczość:</w:t>
      </w:r>
      <w:r>
        <w:rPr>
          <w:rFonts w:ascii="Verdana" w:eastAsia="Verdana" w:hAnsi="Verdana" w:cs="Verdana"/>
        </w:rPr>
        <w:t xml:space="preserve"> W oparciu o dostępne dane kryteria klasyfikacji nie są spełnione.</w:t>
      </w:r>
      <w:r>
        <w:rPr>
          <w:rFonts w:ascii="Verdana" w:eastAsia="Verdana" w:hAnsi="Verdana" w:cs="Verdana"/>
          <w:b/>
          <w:bCs/>
        </w:rPr>
        <w:t xml:space="preserve"> 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 xml:space="preserve">Działanie toksyczne na narządy docelowe – narażenie jednorazowe: </w:t>
      </w:r>
      <w:r>
        <w:rPr>
          <w:rFonts w:ascii="Verdana" w:eastAsia="Verdana" w:hAnsi="Verdana" w:cs="Verdana"/>
        </w:rPr>
        <w:t>W oparciu</w:t>
      </w:r>
      <w:r>
        <w:rPr>
          <w:rFonts w:ascii="Verdana" w:eastAsia="Verdana" w:hAnsi="Verdana" w:cs="Verdana"/>
        </w:rPr>
        <w:br/>
        <w:t>o dostępne dane kryteria klasyfikacji nie są spełnione.</w:t>
      </w:r>
      <w:r>
        <w:rPr>
          <w:rFonts w:ascii="Verdana" w:eastAsia="Verdana" w:hAnsi="Verdana" w:cs="Verdana"/>
          <w:b/>
          <w:bCs/>
        </w:rPr>
        <w:t xml:space="preserve"> 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 xml:space="preserve">Działanie toksyczne na narządy docelowe – narażenie powtarzane: </w:t>
      </w:r>
      <w:r>
        <w:rPr>
          <w:rFonts w:ascii="Verdana" w:eastAsia="Verdana" w:hAnsi="Verdana" w:cs="Verdana"/>
        </w:rPr>
        <w:t>W oparciu</w:t>
      </w:r>
      <w:r>
        <w:rPr>
          <w:rFonts w:ascii="Verdana" w:eastAsia="Verdana" w:hAnsi="Verdana" w:cs="Verdana"/>
        </w:rPr>
        <w:br/>
        <w:t>o dostępne dane kryteria klasyfikacji nie są spełnione.</w:t>
      </w:r>
      <w:r>
        <w:rPr>
          <w:rFonts w:ascii="Verdana" w:eastAsia="Verdana" w:hAnsi="Verdana" w:cs="Verdana"/>
          <w:b/>
          <w:bCs/>
        </w:rPr>
        <w:t xml:space="preserve"> </w:t>
      </w:r>
    </w:p>
    <w:p w:rsidR="000A7311" w:rsidRDefault="000A7311">
      <w:pPr>
        <w:autoSpaceDE w:val="0"/>
        <w:jc w:val="both"/>
      </w:pPr>
      <w:r>
        <w:rPr>
          <w:rFonts w:ascii="Verdana" w:eastAsia="Verdana" w:hAnsi="Verdana" w:cs="Verdana"/>
          <w:b/>
          <w:bCs/>
        </w:rPr>
        <w:t xml:space="preserve">Zagrożenie spowodowane aspiracją: </w:t>
      </w:r>
      <w:r>
        <w:rPr>
          <w:rFonts w:ascii="Verdana" w:eastAsia="Verdana" w:hAnsi="Verdana" w:cs="Verdana"/>
        </w:rPr>
        <w:t>W oparciu o dostępne dane kryteria klasyfikacji</w:t>
      </w:r>
      <w:r>
        <w:rPr>
          <w:rFonts w:ascii="Verdana" w:eastAsia="Verdana" w:hAnsi="Verdana" w:cs="Verdana"/>
        </w:rPr>
        <w:br/>
        <w:t>nie są spełnione.</w:t>
      </w:r>
      <w:r>
        <w:rPr>
          <w:rFonts w:ascii="Verdana" w:eastAsia="Verdana" w:hAnsi="Verdana" w:cs="Verdana"/>
          <w:b/>
          <w:bCs/>
        </w:rPr>
        <w:t xml:space="preserve"> </w:t>
      </w:r>
    </w:p>
    <w:p w:rsidR="000A7311" w:rsidRDefault="000A7311">
      <w:pPr>
        <w:ind w:firstLine="567"/>
        <w:jc w:val="both"/>
      </w:pPr>
    </w:p>
    <w:p w:rsidR="000A7311" w:rsidRDefault="000A7311">
      <w:pPr>
        <w:ind w:left="-21" w:right="-6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Narażenie drogą oddechową:</w:t>
      </w:r>
      <w:r>
        <w:rPr>
          <w:rFonts w:ascii="Verdana" w:hAnsi="Verdana" w:cs="Verdana"/>
        </w:rPr>
        <w:tab/>
        <w:t>Może powodować lekkie podrażnienie.</w:t>
      </w:r>
    </w:p>
    <w:p w:rsidR="000A7311" w:rsidRDefault="000A7311">
      <w:pPr>
        <w:ind w:left="-21" w:right="-6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Kontakt ze skórą: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 xml:space="preserve">W przypadku długotrwałego lub powtarzającego się 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 xml:space="preserve">kontaktu może powodować lekkie podrażnienie.  </w:t>
      </w:r>
    </w:p>
    <w:p w:rsidR="000A7311" w:rsidRDefault="000A7311">
      <w:pPr>
        <w:pStyle w:val="Tekstpodstawowywcity31"/>
        <w:ind w:left="-21" w:right="-6" w:firstLine="0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Kontakt z oczami: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 xml:space="preserve">Pary produktu mogą powodować lekkie zaczerwienienie </w:t>
      </w:r>
      <w:r>
        <w:rPr>
          <w:rFonts w:ascii="Verdana" w:hAnsi="Verdana" w:cs="Verdana"/>
        </w:rPr>
        <w:br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i swędzenie oczu.</w:t>
      </w:r>
    </w:p>
    <w:p w:rsidR="000A7311" w:rsidRDefault="000A7311">
      <w:pPr>
        <w:pStyle w:val="Tekstpodstawowywcity31"/>
        <w:ind w:left="-21" w:right="-6" w:firstLine="0"/>
        <w:jc w:val="both"/>
      </w:pPr>
      <w:r>
        <w:rPr>
          <w:rFonts w:ascii="Verdana" w:hAnsi="Verdana" w:cs="Verdana"/>
          <w:b/>
          <w:bCs/>
        </w:rPr>
        <w:t xml:space="preserve">Po spożyciu: 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 xml:space="preserve">Zazwyczaj nie powoduje negatywnych skutków 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zdrowotnych.</w:t>
      </w:r>
    </w:p>
    <w:p w:rsidR="000A7311" w:rsidRDefault="000A7311">
      <w:pPr>
        <w:pStyle w:val="Liniapozioma"/>
      </w:pPr>
    </w:p>
    <w:p w:rsidR="000A7311" w:rsidRDefault="000A7311">
      <w:pPr>
        <w:pStyle w:val="Nagwek1"/>
        <w:numPr>
          <w:ilvl w:val="0"/>
          <w:numId w:val="0"/>
        </w:numPr>
        <w:tabs>
          <w:tab w:val="clear" w:pos="1418"/>
          <w:tab w:val="left" w:pos="1410"/>
        </w:tabs>
        <w:ind w:left="9" w:right="-6"/>
      </w:pPr>
      <w:r>
        <w:t>SEKCJA 12:</w:t>
      </w:r>
      <w:r>
        <w:tab/>
        <w:t>INFORMACJE EKOLOGICZNE</w:t>
      </w:r>
    </w:p>
    <w:p w:rsidR="000A7311" w:rsidRDefault="000A7311">
      <w:pPr>
        <w:pStyle w:val="Liniapozioma"/>
      </w:pPr>
    </w:p>
    <w:p w:rsidR="000A7311" w:rsidRDefault="000A7311">
      <w:pPr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lastRenderedPageBreak/>
        <w:t>12.1.Toksyczność.</w:t>
      </w:r>
    </w:p>
    <w:p w:rsidR="000A7311" w:rsidRDefault="000A7311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>Nie spełnia kryteriów klasyfikacji jako stwarzający zagrożenia dla środowiska.</w:t>
      </w:r>
    </w:p>
    <w:p w:rsidR="000A7311" w:rsidRDefault="000A7311">
      <w:pPr>
        <w:pStyle w:val="Nagwek2"/>
        <w:numPr>
          <w:ilvl w:val="0"/>
          <w:numId w:val="0"/>
        </w:numPr>
        <w:tabs>
          <w:tab w:val="clear" w:pos="1418"/>
          <w:tab w:val="left" w:pos="540"/>
        </w:tabs>
        <w:ind w:left="-6" w:right="-6" w:hanging="15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12.2.Trwałość i zdolność do rozkładu.</w:t>
      </w:r>
    </w:p>
    <w:p w:rsidR="000A7311" w:rsidRDefault="000A7311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>Nie określono.</w:t>
      </w:r>
    </w:p>
    <w:p w:rsidR="000A7311" w:rsidRDefault="000A7311">
      <w:pPr>
        <w:pStyle w:val="Nagwek2"/>
        <w:numPr>
          <w:ilvl w:val="0"/>
          <w:numId w:val="0"/>
        </w:numPr>
        <w:tabs>
          <w:tab w:val="clear" w:pos="1418"/>
          <w:tab w:val="left" w:pos="555"/>
        </w:tabs>
        <w:ind w:left="-6" w:right="-6" w:firstLine="15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 xml:space="preserve">12.3.Zdolność do </w:t>
      </w:r>
      <w:proofErr w:type="spellStart"/>
      <w:r>
        <w:rPr>
          <w:rFonts w:ascii="Verdana" w:hAnsi="Verdana" w:cs="Verdana"/>
          <w:b/>
          <w:bCs/>
          <w:sz w:val="20"/>
        </w:rPr>
        <w:t>bioakumulacji</w:t>
      </w:r>
      <w:proofErr w:type="spellEnd"/>
      <w:r>
        <w:rPr>
          <w:rFonts w:ascii="Verdana" w:hAnsi="Verdana" w:cs="Verdana"/>
          <w:b/>
          <w:bCs/>
          <w:sz w:val="20"/>
        </w:rPr>
        <w:t>.</w:t>
      </w:r>
    </w:p>
    <w:p w:rsidR="000A7311" w:rsidRDefault="000A7311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 xml:space="preserve">Nie ulega </w:t>
      </w:r>
      <w:proofErr w:type="spellStart"/>
      <w:r>
        <w:rPr>
          <w:rFonts w:ascii="Verdana" w:hAnsi="Verdana" w:cs="Verdana"/>
        </w:rPr>
        <w:t>bioakumulacji</w:t>
      </w:r>
      <w:proofErr w:type="spellEnd"/>
      <w:r>
        <w:rPr>
          <w:rFonts w:ascii="Verdana" w:hAnsi="Verdana" w:cs="Verdana"/>
        </w:rPr>
        <w:t>.</w:t>
      </w:r>
    </w:p>
    <w:p w:rsidR="000A7311" w:rsidRDefault="000A7311">
      <w:pPr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12.4. Mobilność w glebie.</w:t>
      </w:r>
    </w:p>
    <w:p w:rsidR="000A7311" w:rsidRDefault="000A7311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>Rozpuszcza się w wodzie, może przenikać do gleby.</w:t>
      </w:r>
    </w:p>
    <w:p w:rsidR="000A7311" w:rsidRDefault="000A7311">
      <w:pPr>
        <w:ind w:left="-6" w:right="-6" w:hanging="15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12.5.</w:t>
      </w:r>
      <w:r>
        <w:rPr>
          <w:rFonts w:ascii="Verdana" w:hAnsi="Verdana" w:cs="Verdana"/>
          <w:b/>
          <w:bCs/>
        </w:rPr>
        <w:tab/>
        <w:t xml:space="preserve">Wyniki oceny właściwości PBT i </w:t>
      </w:r>
      <w:proofErr w:type="spellStart"/>
      <w:r>
        <w:rPr>
          <w:rFonts w:ascii="Verdana" w:hAnsi="Verdana" w:cs="Verdana"/>
          <w:b/>
          <w:bCs/>
        </w:rPr>
        <w:t>vPvB</w:t>
      </w:r>
      <w:proofErr w:type="spellEnd"/>
      <w:r>
        <w:rPr>
          <w:rFonts w:ascii="Verdana" w:hAnsi="Verdana" w:cs="Verdana"/>
          <w:b/>
          <w:bCs/>
        </w:rPr>
        <w:t>.</w:t>
      </w:r>
    </w:p>
    <w:p w:rsidR="000A7311" w:rsidRDefault="000A7311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>Nie dotyczy.</w:t>
      </w:r>
    </w:p>
    <w:p w:rsidR="000A7311" w:rsidRDefault="000A7311">
      <w:pPr>
        <w:pStyle w:val="Nagwek2"/>
        <w:numPr>
          <w:ilvl w:val="0"/>
          <w:numId w:val="0"/>
        </w:numPr>
        <w:tabs>
          <w:tab w:val="clear" w:pos="1418"/>
          <w:tab w:val="left" w:pos="570"/>
        </w:tabs>
        <w:ind w:left="3" w:right="-6" w:hanging="15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12.6.Inne szkodliwe skutki działania.</w:t>
      </w:r>
    </w:p>
    <w:p w:rsidR="000A7311" w:rsidRDefault="000A7311">
      <w:r>
        <w:rPr>
          <w:rFonts w:ascii="Verdana" w:hAnsi="Verdana" w:cs="Verdana"/>
        </w:rPr>
        <w:t>Nie określono.</w:t>
      </w:r>
    </w:p>
    <w:p w:rsidR="000A7311" w:rsidRDefault="000A7311">
      <w:pPr>
        <w:pStyle w:val="Liniapozioma"/>
      </w:pPr>
    </w:p>
    <w:p w:rsidR="000A7311" w:rsidRDefault="000A7311">
      <w:pPr>
        <w:pStyle w:val="Nagwek1"/>
        <w:numPr>
          <w:ilvl w:val="0"/>
          <w:numId w:val="0"/>
        </w:numPr>
        <w:ind w:left="-6" w:right="-6" w:hanging="15"/>
      </w:pPr>
      <w:r>
        <w:t>SEKCJA 13:</w:t>
      </w:r>
      <w:r>
        <w:tab/>
        <w:t>POSTĘPOWANIE Z ODPADAMI</w:t>
      </w:r>
    </w:p>
    <w:p w:rsidR="000A7311" w:rsidRDefault="000A7311">
      <w:pPr>
        <w:pStyle w:val="Liniapozioma"/>
      </w:pPr>
    </w:p>
    <w:p w:rsidR="000A7311" w:rsidRDefault="000A7311">
      <w:pPr>
        <w:pStyle w:val="Nagwek2"/>
        <w:numPr>
          <w:ilvl w:val="0"/>
          <w:numId w:val="0"/>
        </w:numPr>
        <w:tabs>
          <w:tab w:val="clear" w:pos="1418"/>
          <w:tab w:val="left" w:pos="540"/>
        </w:tabs>
        <w:ind w:left="-21" w:right="-6" w:hanging="3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13.1.Metody unieszkodliwiania odpadów.</w:t>
      </w:r>
    </w:p>
    <w:p w:rsidR="000A7311" w:rsidRDefault="000A7311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Nie usuwać produktu razem z odpadami komunalnymi, nie wylewać do kanalizacji. Nie dopuścić do zanieczyszczenia wód powierzchniowych i gruntowych. Zużyte opakowania po oczyszczeniu przekazać do recyklingu.</w:t>
      </w:r>
    </w:p>
    <w:p w:rsidR="000A7311" w:rsidRDefault="000A7311">
      <w:pPr>
        <w:jc w:val="both"/>
        <w:rPr>
          <w:rFonts w:ascii="Verdana" w:eastAsia="Verdana" w:hAnsi="Verdana" w:cs="Verdana"/>
        </w:rPr>
      </w:pPr>
      <w:r>
        <w:rPr>
          <w:rFonts w:ascii="Verdana" w:hAnsi="Verdana" w:cs="Verdana"/>
        </w:rPr>
        <w:t xml:space="preserve">Przestrzegać przepisów ustawy z dnia 14 grudnia 2012r. o odpadach </w:t>
      </w:r>
      <w:r>
        <w:rPr>
          <w:rFonts w:ascii="Verdana" w:eastAsia="Verdana" w:hAnsi="Verdana" w:cs="Verdana"/>
        </w:rPr>
        <w:t>(Dz. U. 2013 r. poz. 21 z późniejszymi zmianami).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Przestrzegać przepisów ustawy z dnia 13 czerwca 2013 r. o gospodarce opakowaniami</w:t>
      </w:r>
      <w:r>
        <w:rPr>
          <w:rFonts w:ascii="Verdana" w:eastAsia="Verdana" w:hAnsi="Verdana" w:cs="Verdana"/>
        </w:rPr>
        <w:br/>
        <w:t>i odpadami opakowaniowymi (Dz. U. 2013r. nr 0, poz. 888 z późniejszymi zmianami.)</w:t>
      </w:r>
    </w:p>
    <w:p w:rsidR="000A7311" w:rsidRDefault="000A7311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Klasyfikacja odpadów zgodnie z Rozporządzeniem Ministra Środowiska z dnia 9 grudnia </w:t>
      </w:r>
    </w:p>
    <w:p w:rsidR="000A7311" w:rsidRDefault="000A7311">
      <w:pPr>
        <w:autoSpaceDE w:val="0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>2014r. w sprawie katalogu odpadów (Dz. U. z 2014 r., poz. 1923).</w:t>
      </w:r>
    </w:p>
    <w:p w:rsidR="000A7311" w:rsidRDefault="000A7311">
      <w:pPr>
        <w:autoSpaceDE w:val="0"/>
        <w:rPr>
          <w:rFonts w:ascii="Verdana" w:eastAsia="Verdana" w:hAnsi="Verdana" w:cs="Verdana"/>
          <w:b/>
          <w:bCs/>
        </w:rPr>
      </w:pP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Wspólnotowe akty prawne: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Dyrektywa Parlamentu Europejskiego i Rady </w:t>
      </w:r>
      <w:r>
        <w:rPr>
          <w:rFonts w:ascii="Verdana" w:eastAsia="Verdana" w:hAnsi="Verdana" w:cs="Verdana"/>
          <w:b/>
          <w:bCs/>
        </w:rPr>
        <w:t>2008/98/WE</w:t>
      </w:r>
      <w:r>
        <w:rPr>
          <w:rFonts w:ascii="Verdana" w:eastAsia="Verdana" w:hAnsi="Verdana" w:cs="Verdana"/>
        </w:rPr>
        <w:t xml:space="preserve"> z dnia 19 listopada 2008r.</w:t>
      </w:r>
      <w:r>
        <w:rPr>
          <w:rFonts w:ascii="Verdana" w:eastAsia="Verdana" w:hAnsi="Verdana" w:cs="Verdana"/>
        </w:rPr>
        <w:br/>
        <w:t>w sprawie odpadów oraz uchylająca niektóre dyrektywy z późniejszymi zmianami.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Dyrektywa </w:t>
      </w:r>
      <w:r>
        <w:rPr>
          <w:rFonts w:ascii="Verdana" w:eastAsia="Verdana" w:hAnsi="Verdana" w:cs="Verdana"/>
          <w:b/>
          <w:bCs/>
        </w:rPr>
        <w:t>94/62/WE</w:t>
      </w:r>
      <w:r>
        <w:rPr>
          <w:rFonts w:ascii="Verdana" w:eastAsia="Verdana" w:hAnsi="Verdana" w:cs="Verdana"/>
        </w:rPr>
        <w:t xml:space="preserve"> Parlamentu Europejskiego i Rady z dnia 20 grudnia 1994 r. w sprawie opakowań i odpadów opakowaniowych z </w:t>
      </w:r>
      <w:proofErr w:type="spellStart"/>
      <w:r>
        <w:rPr>
          <w:rFonts w:ascii="Verdana" w:eastAsia="Verdana" w:hAnsi="Verdana" w:cs="Verdana"/>
        </w:rPr>
        <w:t>późn</w:t>
      </w:r>
      <w:proofErr w:type="spellEnd"/>
      <w:r>
        <w:rPr>
          <w:rFonts w:ascii="Verdana" w:eastAsia="Verdana" w:hAnsi="Verdana" w:cs="Verdana"/>
        </w:rPr>
        <w:t>. zm.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Sposób likwidacji produktu:</w:t>
      </w:r>
      <w:r>
        <w:rPr>
          <w:rFonts w:ascii="Verdana" w:eastAsia="Verdana" w:hAnsi="Verdana" w:cs="Verdana"/>
        </w:rPr>
        <w:t xml:space="preserve"> Nie wprowadzać do środowiska. Przekazać w odpowiednio oznakowanych pojemnikach na odpady do uprawnionego przedsiębiorstwa.</w:t>
      </w:r>
    </w:p>
    <w:p w:rsidR="000A7311" w:rsidRDefault="000A7311">
      <w:pPr>
        <w:autoSpaceDE w:val="0"/>
        <w:jc w:val="both"/>
      </w:pPr>
      <w:r>
        <w:rPr>
          <w:rFonts w:ascii="Verdana" w:eastAsia="Verdana" w:hAnsi="Verdana" w:cs="Verdana"/>
          <w:b/>
          <w:bCs/>
        </w:rPr>
        <w:t>Sposób likwidacji opakowań:</w:t>
      </w:r>
      <w:r>
        <w:rPr>
          <w:rFonts w:ascii="Verdana" w:eastAsia="Verdana" w:hAnsi="Verdana" w:cs="Verdana"/>
        </w:rPr>
        <w:t xml:space="preserve"> Produkt i opakowania usuwać jako odpad; dostarczać do uprawnionego przedsiębiorstwa.</w:t>
      </w:r>
    </w:p>
    <w:p w:rsidR="000A7311" w:rsidRDefault="000A7311">
      <w:pPr>
        <w:pStyle w:val="Liniapozioma"/>
      </w:pPr>
    </w:p>
    <w:p w:rsidR="000A7311" w:rsidRDefault="000A7311">
      <w:pPr>
        <w:pStyle w:val="Nagwek1"/>
        <w:numPr>
          <w:ilvl w:val="0"/>
          <w:numId w:val="0"/>
        </w:numPr>
        <w:ind w:left="3" w:right="-6" w:hanging="15"/>
      </w:pPr>
      <w:r>
        <w:t>SEKCJA 14:</w:t>
      </w:r>
      <w:r>
        <w:tab/>
        <w:t>INFORMACJE DOTYCZĄCE TRANSPORTU</w:t>
      </w:r>
    </w:p>
    <w:p w:rsidR="000A7311" w:rsidRDefault="000A7311">
      <w:pPr>
        <w:pStyle w:val="Liniapozioma"/>
      </w:pPr>
    </w:p>
    <w:p w:rsidR="000A7311" w:rsidRDefault="000A7311">
      <w:pPr>
        <w:pStyle w:val="Nagwek2"/>
        <w:numPr>
          <w:ilvl w:val="0"/>
          <w:numId w:val="0"/>
        </w:numPr>
        <w:tabs>
          <w:tab w:val="clear" w:pos="1418"/>
          <w:tab w:val="left" w:pos="555"/>
        </w:tabs>
        <w:ind w:left="-6" w:right="-6" w:hanging="15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14.1.Numer UN (numer ONZ).</w:t>
      </w:r>
    </w:p>
    <w:p w:rsidR="000A7311" w:rsidRDefault="000A7311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>Nie określono.</w:t>
      </w:r>
    </w:p>
    <w:p w:rsidR="000A7311" w:rsidRDefault="000A7311">
      <w:pPr>
        <w:pStyle w:val="Nagwek2"/>
        <w:numPr>
          <w:ilvl w:val="0"/>
          <w:numId w:val="0"/>
        </w:numPr>
        <w:tabs>
          <w:tab w:val="clear" w:pos="1418"/>
          <w:tab w:val="left" w:pos="555"/>
        </w:tabs>
        <w:ind w:left="-21" w:right="-6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14.2.</w:t>
      </w:r>
      <w:r>
        <w:rPr>
          <w:rFonts w:ascii="Verdana" w:hAnsi="Verdana" w:cs="Verdana"/>
          <w:b/>
          <w:bCs/>
          <w:sz w:val="20"/>
        </w:rPr>
        <w:tab/>
        <w:t>Prawidłowa nazwa przewozowa.</w:t>
      </w:r>
    </w:p>
    <w:p w:rsidR="000A7311" w:rsidRDefault="000A7311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>Nie określono.</w:t>
      </w:r>
    </w:p>
    <w:p w:rsidR="000A7311" w:rsidRDefault="000A7311">
      <w:pPr>
        <w:pStyle w:val="Nagwek2"/>
        <w:numPr>
          <w:ilvl w:val="0"/>
          <w:numId w:val="0"/>
        </w:numPr>
        <w:tabs>
          <w:tab w:val="clear" w:pos="1418"/>
          <w:tab w:val="left" w:pos="555"/>
        </w:tabs>
        <w:ind w:left="-6" w:right="-6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lastRenderedPageBreak/>
        <w:t>14.3.Klasa(-y) zagrożenia w transporcie.</w:t>
      </w:r>
    </w:p>
    <w:p w:rsidR="000A7311" w:rsidRDefault="000A7311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>Nie określono.</w:t>
      </w:r>
    </w:p>
    <w:p w:rsidR="000A7311" w:rsidRDefault="000A7311">
      <w:pPr>
        <w:pStyle w:val="Nagwek2"/>
        <w:numPr>
          <w:ilvl w:val="0"/>
          <w:numId w:val="0"/>
        </w:numPr>
        <w:tabs>
          <w:tab w:val="clear" w:pos="1418"/>
          <w:tab w:val="left" w:pos="570"/>
        </w:tabs>
        <w:ind w:left="3" w:right="-6" w:hanging="15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14.4.Grupa pakowania.</w:t>
      </w:r>
    </w:p>
    <w:p w:rsidR="000A7311" w:rsidRDefault="000A7311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>Nie określono.</w:t>
      </w:r>
    </w:p>
    <w:p w:rsidR="000A7311" w:rsidRDefault="000A7311">
      <w:pPr>
        <w:pStyle w:val="Nagwek2"/>
        <w:numPr>
          <w:ilvl w:val="0"/>
          <w:numId w:val="0"/>
        </w:numPr>
        <w:tabs>
          <w:tab w:val="clear" w:pos="1418"/>
          <w:tab w:val="left" w:pos="555"/>
        </w:tabs>
        <w:ind w:left="-6" w:right="-6" w:hanging="15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14.5.Zagrożenia dla środowiska.</w:t>
      </w:r>
    </w:p>
    <w:p w:rsidR="000A7311" w:rsidRDefault="000A7311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>Nie spełnia kryteriów klasyfikacji jako stwarzający zagrożenia dla środowiska.</w:t>
      </w:r>
    </w:p>
    <w:p w:rsidR="000A7311" w:rsidRDefault="000A7311">
      <w:pPr>
        <w:pStyle w:val="Nagwek2"/>
        <w:numPr>
          <w:ilvl w:val="0"/>
          <w:numId w:val="0"/>
        </w:numPr>
        <w:tabs>
          <w:tab w:val="clear" w:pos="1418"/>
          <w:tab w:val="left" w:pos="585"/>
        </w:tabs>
        <w:ind w:left="9" w:right="-6" w:firstLine="15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14.6. Szczególne środki ostrożności dla użytkownika.</w:t>
      </w:r>
    </w:p>
    <w:p w:rsidR="000A7311" w:rsidRDefault="000A7311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>Stosować środki ochrony indywidualnej – patrz sekcja 8.</w:t>
      </w:r>
    </w:p>
    <w:p w:rsidR="000A7311" w:rsidRDefault="000A7311">
      <w:pPr>
        <w:pStyle w:val="Nagwek2"/>
        <w:numPr>
          <w:ilvl w:val="0"/>
          <w:numId w:val="0"/>
        </w:numPr>
        <w:tabs>
          <w:tab w:val="clear" w:pos="1418"/>
          <w:tab w:val="left" w:pos="555"/>
        </w:tabs>
        <w:ind w:left="-6" w:right="-6" w:hanging="15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14.7.Transport luzem zgodnie z załącznikiem II do MARPOL 73/78 i kodem IBC.</w:t>
      </w:r>
    </w:p>
    <w:p w:rsidR="000A7311" w:rsidRDefault="000A7311">
      <w:r>
        <w:rPr>
          <w:rFonts w:ascii="Verdana" w:hAnsi="Verdana" w:cs="Verdana"/>
        </w:rPr>
        <w:t>Nie dotyczy.</w:t>
      </w:r>
    </w:p>
    <w:p w:rsidR="000A7311" w:rsidRDefault="000A7311">
      <w:pPr>
        <w:pStyle w:val="Liniapozioma"/>
      </w:pPr>
    </w:p>
    <w:p w:rsidR="000A7311" w:rsidRDefault="000A7311">
      <w:pPr>
        <w:pStyle w:val="Nagwek1"/>
        <w:numPr>
          <w:ilvl w:val="0"/>
          <w:numId w:val="0"/>
        </w:numPr>
        <w:ind w:left="-6" w:right="-6" w:hanging="15"/>
      </w:pPr>
      <w:r>
        <w:t>SEKCJA 15:</w:t>
      </w:r>
      <w:r>
        <w:tab/>
        <w:t>INFORMACJE DOTYCZĄCE PRZEPISÓW PRAWNYCH</w:t>
      </w:r>
    </w:p>
    <w:p w:rsidR="000A7311" w:rsidRDefault="000A7311">
      <w:pPr>
        <w:pStyle w:val="Liniapozioma"/>
      </w:pPr>
    </w:p>
    <w:p w:rsidR="000A7311" w:rsidRDefault="000A7311">
      <w:pPr>
        <w:tabs>
          <w:tab w:val="left" w:pos="555"/>
        </w:tabs>
        <w:jc w:val="both"/>
        <w:rPr>
          <w:rFonts w:ascii="Verdana" w:eastAsia="Verdana" w:hAnsi="Verdana" w:cs="Verdana"/>
        </w:rPr>
      </w:pPr>
      <w:r>
        <w:rPr>
          <w:rFonts w:ascii="Verdana" w:hAnsi="Verdana" w:cs="Verdana"/>
          <w:b/>
          <w:bCs/>
        </w:rPr>
        <w:t>15.1.</w:t>
      </w:r>
      <w:r>
        <w:rPr>
          <w:rFonts w:ascii="Verdana" w:hAnsi="Verdana" w:cs="Verdana"/>
          <w:b/>
          <w:bCs/>
        </w:rPr>
        <w:tab/>
        <w:t xml:space="preserve">Przepisy prawne dotyczące bezpieczeństwa, ochrony zdrowia i środowiska specyficzne </w:t>
      </w:r>
      <w:r>
        <w:rPr>
          <w:rFonts w:ascii="Verdana" w:hAnsi="Verdana" w:cs="Verdana"/>
          <w:b/>
          <w:bCs/>
        </w:rPr>
        <w:tab/>
        <w:t>dla substancji lub mieszaniny.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• Ustawa z dnia 25 lutego 2011 r. o substancjach chemicznych i ich mieszaninach – tekst ujednolicony (</w:t>
      </w:r>
      <w:proofErr w:type="spellStart"/>
      <w:r>
        <w:rPr>
          <w:rFonts w:ascii="Verdana" w:eastAsia="Verdana" w:hAnsi="Verdana" w:cs="Verdana"/>
        </w:rPr>
        <w:t>Dz.U</w:t>
      </w:r>
      <w:proofErr w:type="spellEnd"/>
      <w:r>
        <w:rPr>
          <w:rFonts w:ascii="Verdana" w:eastAsia="Verdana" w:hAnsi="Verdana" w:cs="Verdana"/>
        </w:rPr>
        <w:t>. 2015r, poz. 1203).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• Rozporządzenie Ministra Zdrowia z dnia 10 sierpnia 2012 r. w sprawie kryteriów i sposobu klasyfikacji substancji chemicznych i ich mieszanin – tekst ujednolicony (Dz. U. 2015 r. poz. 208).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• Rozporządzenie Ministra Gospodarki z dnia 21 grudnia 2005 r. w sprawie zasadniczych wymagań dla środków ochrony indywidualnej (Dz. U. z 2005 r. Nr 259, poz. 2173).</w:t>
      </w:r>
    </w:p>
    <w:p w:rsidR="000A7311" w:rsidRDefault="000A7311">
      <w:pPr>
        <w:autoSpaceDE w:val="0"/>
        <w:jc w:val="both"/>
        <w:rPr>
          <w:rFonts w:ascii="Verdana" w:eastAsia="Symbol" w:hAnsi="Verdana" w:cs="Verdana"/>
        </w:rPr>
      </w:pPr>
      <w:r>
        <w:rPr>
          <w:rFonts w:ascii="Verdana" w:eastAsia="Verdana" w:hAnsi="Verdana" w:cs="Verdana"/>
        </w:rPr>
        <w:t>• Rozporządzenie Ministra Zdrowia z dnia 20 kwietnia 2012 r. w sprawie oznakowania opakowań substancji niebezpiecznych i mieszanin niebezpiecznych oraz niektórych mieszanin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Symbol" w:hAnsi="Verdana" w:cs="Verdana"/>
        </w:rPr>
        <w:t>- tekst ujednolicony (Dz. U. 2015 r., poz. 450).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• </w:t>
      </w:r>
      <w:r>
        <w:rPr>
          <w:rFonts w:ascii="Verdana" w:eastAsia="Symbol" w:hAnsi="Verdana" w:cs="Verdana"/>
        </w:rPr>
        <w:t>Rozporządzenie Ministra Pracy i Polityki Społecznej z dnia 6 czerwca 2014r. w sprawie najwyższych dopuszczalnych stężeń i natężeń czynników szkodliwych dla zdrowia</w:t>
      </w:r>
      <w:r>
        <w:rPr>
          <w:rFonts w:ascii="Verdana" w:eastAsia="Symbol" w:hAnsi="Verdana" w:cs="Verdana"/>
        </w:rPr>
        <w:br/>
        <w:t>w środowisku pracy (</w:t>
      </w:r>
      <w:proofErr w:type="spellStart"/>
      <w:r>
        <w:rPr>
          <w:rFonts w:ascii="Verdana" w:eastAsia="Symbol" w:hAnsi="Verdana" w:cs="Verdana"/>
        </w:rPr>
        <w:t>Dz.U</w:t>
      </w:r>
      <w:proofErr w:type="spellEnd"/>
      <w:r>
        <w:rPr>
          <w:rFonts w:ascii="Verdana" w:eastAsia="Symbol" w:hAnsi="Verdana" w:cs="Verdana"/>
        </w:rPr>
        <w:t>. 2014 r. nr 0, poz.817)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• Rozporządzenie Ministra Pracy i Polityki Socjalnej z dnia 26 września 1997 r. </w:t>
      </w:r>
      <w:r>
        <w:rPr>
          <w:rFonts w:ascii="Verdana" w:eastAsia="Symbol" w:hAnsi="Verdana" w:cs="Verdana"/>
        </w:rPr>
        <w:t>w sprawie ogólnych przepisów bezpieczeństwa i higieny pracy (tekst ujednolicony Dz. U. 2003r.,</w:t>
      </w:r>
      <w:r>
        <w:rPr>
          <w:rFonts w:ascii="Verdana" w:eastAsia="Symbol" w:hAnsi="Verdana" w:cs="Verdana"/>
        </w:rPr>
        <w:br/>
        <w:t>Nr 169, poz. 1650 z późniejszymi zmianami).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• Rozporządzenie Ministra Zdrowia z dnia 2 lutego 2011 r. w sprawie badań i pomiarów czynników szkodliwych dla zdrowia w środowisku pracy (Dz. U.2011, Nr 33, poz. 166).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• Ustawa o odpadach z dnia 14 grudnia 2012r. (Dz. U. 2013, Nr 0, poz. 21 z późniejszymi zmianami).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• Ustawa z dnia 13 czerwca 2013r. o gospodarce opakowaniami i odpadami opakowaniowymi  (Dz. U.2013, Nr.0, poz.888 z późniejszymi zmianami).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• Rozporządzenie Ministra Ochrony Środowiska z dnia 9 grudnia 2014 r. w sprawie katalogu odpadów (Dz. U.2014, poz. 1923).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• Transport drogowy i kolejowy ADR/RID zgodnie z Oświadczeniem Rządowym z dnia</w:t>
      </w:r>
      <w:r>
        <w:rPr>
          <w:rFonts w:ascii="Verdana" w:eastAsia="Verdana" w:hAnsi="Verdana" w:cs="Verdana"/>
        </w:rPr>
        <w:br/>
        <w:t>26 marca 2015r. w sprawie wejścia w życie zmian do załączników A i B Umowy europejskiej dotyczącej międzynarodowego przewozu drogowego towarów niebezpiecznych (ADR), sporządzonej w Genewie dnia 30 września 1957 r. - wersja ujednolicona (</w:t>
      </w:r>
      <w:proofErr w:type="spellStart"/>
      <w:r>
        <w:rPr>
          <w:rFonts w:ascii="Verdana" w:eastAsia="Verdana" w:hAnsi="Verdana" w:cs="Verdana"/>
        </w:rPr>
        <w:t>Dz.U</w:t>
      </w:r>
      <w:proofErr w:type="spellEnd"/>
      <w:r>
        <w:rPr>
          <w:rFonts w:ascii="Verdana" w:eastAsia="Verdana" w:hAnsi="Verdana" w:cs="Verdana"/>
        </w:rPr>
        <w:t>. 2015r.,</w:t>
      </w:r>
      <w:r>
        <w:rPr>
          <w:rFonts w:ascii="Verdana" w:eastAsia="Verdana" w:hAnsi="Verdana" w:cs="Verdana"/>
        </w:rPr>
        <w:br/>
      </w:r>
      <w:proofErr w:type="spellStart"/>
      <w:r>
        <w:rPr>
          <w:rFonts w:ascii="Verdana" w:eastAsia="Verdana" w:hAnsi="Verdana" w:cs="Verdana"/>
        </w:rPr>
        <w:t>poz</w:t>
      </w:r>
      <w:proofErr w:type="spellEnd"/>
      <w:r>
        <w:rPr>
          <w:rFonts w:ascii="Verdana" w:eastAsia="Verdana" w:hAnsi="Verdana" w:cs="Verdana"/>
        </w:rPr>
        <w:t xml:space="preserve">, 882) oraz Ustawą z dnia 28 marca 2003 r. o transporcie kolejowym - tekst ujednolicony (Dz. U.2015, poz. 1297 z </w:t>
      </w:r>
      <w:proofErr w:type="spellStart"/>
      <w:r>
        <w:rPr>
          <w:rFonts w:ascii="Verdana" w:eastAsia="Verdana" w:hAnsi="Verdana" w:cs="Verdana"/>
        </w:rPr>
        <w:t>późn</w:t>
      </w:r>
      <w:proofErr w:type="spellEnd"/>
      <w:r>
        <w:rPr>
          <w:rFonts w:ascii="Verdana" w:eastAsia="Verdana" w:hAnsi="Verdana" w:cs="Verdana"/>
        </w:rPr>
        <w:t>. zm.).</w:t>
      </w:r>
    </w:p>
    <w:p w:rsidR="000A7311" w:rsidRDefault="000A7311">
      <w:pPr>
        <w:ind w:left="10" w:right="-5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</w:rPr>
        <w:lastRenderedPageBreak/>
        <w:t xml:space="preserve">• Rozporządzenie (WE) nr 1907/2006 Parlamentu Europejskiego i Rady z dnia 18 </w:t>
      </w:r>
      <w:r>
        <w:rPr>
          <w:rFonts w:ascii="Verdana" w:eastAsia="Verdana" w:hAnsi="Verdana" w:cs="Verdana"/>
        </w:rPr>
        <w:t>grudnia 2006 r. w sprawie rejestracji, oceny, udzielania zezwoleń i stosowanych ograniczeń (REACH), Dziennik Urzędowy Unii Europejskiej L 396 z dnia 30 grudnia 2006 roku z późniejszymi zmianami.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• Rozporządzenie Parlamentu Europejskiego i Rady (WE) nr 1272/2008 z dnia 16 grudnia 2008 r. w sprawie klasyfikacji, oznakowania i pakowania substancji i mieszanin, zmieniające</w:t>
      </w:r>
      <w:r>
        <w:rPr>
          <w:rFonts w:ascii="Verdana" w:eastAsia="Verdana" w:hAnsi="Verdana" w:cs="Verdana"/>
        </w:rPr>
        <w:br/>
        <w:t>i uchylające dyrektywy 67/548/EWG i 1999/45/WE oraz zmieniające rozporządzenie (WE)</w:t>
      </w:r>
      <w:r>
        <w:rPr>
          <w:rFonts w:ascii="Verdana" w:eastAsia="Verdana" w:hAnsi="Verdana" w:cs="Verdana"/>
        </w:rPr>
        <w:br/>
        <w:t>nr 1907/2006 z późniejszymi zmianami.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• Rozporządzenie Komisji (UE) 2015/830 z dnia 28 maja 2015r. Zmieniające rozporządzenie (WE) nr 1907/2006 Parlamentu Europejskiego i Rady w sprawie rejestracji, oceny, udzielania zezwoleń i stosowanych ograniczeń w zakresie chemikaliów (REACH).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• Dyrektywa Parlamentu Europejskiego i Rady 2008/98/WE z dnia 19 listopada 2008r.</w:t>
      </w:r>
      <w:r>
        <w:rPr>
          <w:rFonts w:ascii="Verdana" w:eastAsia="Verdana" w:hAnsi="Verdana" w:cs="Verdana"/>
        </w:rPr>
        <w:br/>
        <w:t xml:space="preserve"> w sprawie odpadów oraz uchylająca niektóre dyrektywy z </w:t>
      </w:r>
      <w:proofErr w:type="spellStart"/>
      <w:r>
        <w:rPr>
          <w:rFonts w:ascii="Verdana" w:eastAsia="Verdana" w:hAnsi="Verdana" w:cs="Verdana"/>
        </w:rPr>
        <w:t>późn</w:t>
      </w:r>
      <w:proofErr w:type="spellEnd"/>
      <w:r>
        <w:rPr>
          <w:rFonts w:ascii="Verdana" w:eastAsia="Verdana" w:hAnsi="Verdana" w:cs="Verdana"/>
        </w:rPr>
        <w:t>. zm.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 xml:space="preserve">• Dyrektywa 94/62/WE Parlamentu Europejskiego i Rady z dnia 20 grudnia 1994 r. w sprawie opakowań i odpadów opakowaniowych z </w:t>
      </w:r>
      <w:proofErr w:type="spellStart"/>
      <w:r>
        <w:rPr>
          <w:rFonts w:ascii="Verdana" w:eastAsia="Verdana" w:hAnsi="Verdana" w:cs="Verdana"/>
        </w:rPr>
        <w:t>późn</w:t>
      </w:r>
      <w:proofErr w:type="spellEnd"/>
      <w:r>
        <w:rPr>
          <w:rFonts w:ascii="Verdana" w:eastAsia="Verdana" w:hAnsi="Verdana" w:cs="Verdana"/>
        </w:rPr>
        <w:t>. zm.</w:t>
      </w:r>
    </w:p>
    <w:p w:rsidR="000A7311" w:rsidRDefault="000A7311">
      <w:pPr>
        <w:autoSpaceDE w:val="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bCs/>
        </w:rPr>
        <w:t>15.2. Ocena bezpieczeństwa chemicznego</w:t>
      </w:r>
      <w:r>
        <w:rPr>
          <w:rFonts w:ascii="Verdana" w:eastAsia="Verdana" w:hAnsi="Verdana" w:cs="Verdana"/>
          <w:color w:val="000000"/>
        </w:rPr>
        <w:t>.</w:t>
      </w:r>
    </w:p>
    <w:p w:rsidR="000A7311" w:rsidRDefault="000A7311">
      <w:pPr>
        <w:autoSpaceDE w:val="0"/>
        <w:ind w:left="10" w:right="-5"/>
        <w:jc w:val="both"/>
      </w:pPr>
      <w:r>
        <w:rPr>
          <w:rFonts w:ascii="Verdana" w:eastAsia="Verdana" w:hAnsi="Verdana" w:cs="Verdana"/>
          <w:color w:val="000000"/>
        </w:rPr>
        <w:t>Brak danych na temat dokonania oceny bezpieczeństwa chemicznego produktu.</w:t>
      </w:r>
    </w:p>
    <w:p w:rsidR="000A7311" w:rsidRDefault="000A7311">
      <w:pPr>
        <w:pStyle w:val="Liniapozioma"/>
      </w:pPr>
    </w:p>
    <w:p w:rsidR="000A7311" w:rsidRDefault="000A7311">
      <w:pPr>
        <w:pStyle w:val="Nagwek1"/>
        <w:numPr>
          <w:ilvl w:val="0"/>
          <w:numId w:val="0"/>
        </w:numPr>
        <w:ind w:left="24" w:right="-6"/>
      </w:pPr>
      <w:r>
        <w:t>SEKCJA 16:</w:t>
      </w:r>
      <w:r>
        <w:tab/>
        <w:t>INNE INFORMACJE</w:t>
      </w:r>
    </w:p>
    <w:p w:rsidR="000A7311" w:rsidRDefault="000A7311">
      <w:pPr>
        <w:pStyle w:val="Liniapozioma"/>
      </w:pPr>
    </w:p>
    <w:p w:rsidR="000A7311" w:rsidRDefault="000A7311">
      <w:pPr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Pełen tekst zwrotów H z sekcji 3:</w:t>
      </w:r>
    </w:p>
    <w:p w:rsidR="000A7311" w:rsidRDefault="000A7311">
      <w:pPr>
        <w:rPr>
          <w:rFonts w:ascii="Verdana" w:hAnsi="Verdana" w:cs="Verdana"/>
        </w:rPr>
      </w:pPr>
      <w:r>
        <w:rPr>
          <w:rFonts w:ascii="Verdana" w:hAnsi="Verdana" w:cs="Verdana"/>
        </w:rPr>
        <w:t>H315 – Działa drażniąco na skórę.</w:t>
      </w:r>
    </w:p>
    <w:p w:rsidR="000A7311" w:rsidRDefault="000A7311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>H319 – Działa drażniąco na oczy.</w:t>
      </w:r>
    </w:p>
    <w:p w:rsidR="000A7311" w:rsidRDefault="000A7311">
      <w:pPr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Skróty i akronimy:</w:t>
      </w:r>
    </w:p>
    <w:p w:rsidR="000A7311" w:rsidRDefault="000A7311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Skin Irrit.2 – Działanie drażniące na skórę, kategoria zagrożenia 2.</w:t>
      </w:r>
    </w:p>
    <w:p w:rsidR="000A7311" w:rsidRDefault="000A7311">
      <w:pPr>
        <w:jc w:val="both"/>
        <w:rPr>
          <w:rFonts w:ascii="Verdana" w:hAnsi="Verdana" w:cs="Verdana"/>
          <w:b/>
          <w:bCs/>
        </w:rPr>
      </w:pPr>
      <w:proofErr w:type="spellStart"/>
      <w:r>
        <w:rPr>
          <w:rFonts w:ascii="Verdana" w:hAnsi="Verdana" w:cs="Verdana"/>
        </w:rPr>
        <w:t>Eye</w:t>
      </w:r>
      <w:proofErr w:type="spellEnd"/>
      <w:r>
        <w:rPr>
          <w:rFonts w:ascii="Verdana" w:hAnsi="Verdana" w:cs="Verdana"/>
        </w:rPr>
        <w:t xml:space="preserve"> Irrit.2 – Działanie drażniące na oczy, kategoria 2.</w:t>
      </w:r>
    </w:p>
    <w:p w:rsidR="000A7311" w:rsidRDefault="000A7311">
      <w:pPr>
        <w:jc w:val="both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Źródła danych:</w:t>
      </w:r>
    </w:p>
    <w:p w:rsidR="000A7311" w:rsidRDefault="000A7311">
      <w:pPr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>Karty charakterystyki składników mieszaniny.</w:t>
      </w:r>
    </w:p>
    <w:p w:rsidR="000A7311" w:rsidRDefault="000A7311">
      <w:pPr>
        <w:jc w:val="both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Porady szkoleniowe:</w:t>
      </w:r>
      <w:r>
        <w:rPr>
          <w:rFonts w:ascii="Verdana" w:hAnsi="Verdana" w:cs="Verdana"/>
        </w:rPr>
        <w:t xml:space="preserve"> Przed użyciem zapoznać się z kartą charakterystyki.</w:t>
      </w:r>
    </w:p>
    <w:p w:rsidR="000A7311" w:rsidRDefault="000A7311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Zmiany: dostosowanie do obowiązujących przepisów.</w:t>
      </w:r>
    </w:p>
    <w:p w:rsidR="000A7311" w:rsidRDefault="000A7311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Niniejsza karta została opracowana na podstawie naszej wiedzy i obowiązujących przepisów.</w:t>
      </w:r>
    </w:p>
    <w:p w:rsidR="000A7311" w:rsidRDefault="000A7311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Informacje zamieszczone w karcie charakterystyki mają na celu opisanie produktu jedynie</w:t>
      </w:r>
      <w:r>
        <w:rPr>
          <w:rFonts w:ascii="Verdana" w:hAnsi="Verdana" w:cs="Verdana"/>
        </w:rPr>
        <w:br/>
        <w:t>z punktu wymagań bezpieczeństwa i nie mogą być traktowane jako gwarancja właściwości produktu. Użytkownik jest odpowiedzialny za stworzenie warunków bezpiecznego używania produktu i to on bierze na siebie odpowiedzialność za skutki wynikające z niewłaściwego stosowania niniejszego produktu.</w:t>
      </w:r>
    </w:p>
    <w:p w:rsidR="000A7311" w:rsidRDefault="000A7311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Pracodawca zobowiązany jest do poinformowania pracowników o zagrożeniach i środkach ochrony osobistej podanych w karcie charakterystyki.</w:t>
      </w:r>
    </w:p>
    <w:p w:rsidR="000A7311" w:rsidRDefault="000A7311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Niniejsza karta charakterystyki zastępuje i unieważnia wszystkie poprzednie jej wydania.</w:t>
      </w:r>
    </w:p>
    <w:p w:rsidR="000A7311" w:rsidRDefault="000A7311">
      <w:pPr>
        <w:ind w:left="567"/>
        <w:jc w:val="both"/>
      </w:pPr>
    </w:p>
    <w:sectPr w:rsidR="000A7311" w:rsidSect="00C161B0">
      <w:headerReference w:type="default" r:id="rId8"/>
      <w:footerReference w:type="default" r:id="rId9"/>
      <w:pgSz w:w="11906" w:h="16838"/>
      <w:pgMar w:top="3731" w:right="1058" w:bottom="1671" w:left="1369" w:header="1181" w:footer="1189" w:gutter="0"/>
      <w:pgBorders>
        <w:top w:val="single" w:sz="8" w:space="28" w:color="000080"/>
        <w:left w:val="single" w:sz="8" w:space="28" w:color="000080"/>
        <w:bottom w:val="single" w:sz="8" w:space="28" w:color="000080"/>
        <w:right w:val="single" w:sz="8" w:space="28" w:color="000080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311" w:rsidRDefault="000A7311" w:rsidP="000A7311">
      <w:r>
        <w:separator/>
      </w:r>
    </w:p>
  </w:endnote>
  <w:endnote w:type="continuationSeparator" w:id="0">
    <w:p w:rsidR="000A7311" w:rsidRDefault="000A7311" w:rsidP="000A7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311" w:rsidRDefault="000A7311">
    <w:pPr>
      <w:jc w:val="right"/>
      <w:rPr>
        <w:i/>
        <w:lang w:val="de-DE"/>
      </w:rPr>
    </w:pPr>
    <w:r>
      <w:rPr>
        <w:i/>
        <w:lang w:val="de-DE"/>
      </w:rPr>
      <w:t>TYNKOLIT</w:t>
    </w:r>
  </w:p>
  <w:p w:rsidR="000A7311" w:rsidRDefault="000A7311">
    <w:pPr>
      <w:jc w:val="right"/>
    </w:pPr>
    <w:proofErr w:type="spellStart"/>
    <w:r>
      <w:rPr>
        <w:i/>
        <w:lang w:val="de-DE"/>
      </w:rPr>
      <w:t>Strona</w:t>
    </w:r>
    <w:proofErr w:type="spellEnd"/>
    <w:r>
      <w:rPr>
        <w:i/>
        <w:lang w:val="de-DE"/>
      </w:rPr>
      <w:t xml:space="preserve"> </w:t>
    </w:r>
    <w:r w:rsidR="00C161B0">
      <w:rPr>
        <w:i/>
        <w:lang w:val="de-DE"/>
      </w:rPr>
      <w:fldChar w:fldCharType="begin"/>
    </w:r>
    <w:r>
      <w:rPr>
        <w:i/>
        <w:lang w:val="de-DE"/>
      </w:rPr>
      <w:instrText xml:space="preserve"> PAGE </w:instrText>
    </w:r>
    <w:r w:rsidR="00C161B0">
      <w:rPr>
        <w:i/>
        <w:lang w:val="de-DE"/>
      </w:rPr>
      <w:fldChar w:fldCharType="separate"/>
    </w:r>
    <w:r w:rsidR="00955F2A">
      <w:rPr>
        <w:i/>
        <w:noProof/>
        <w:lang w:val="de-DE"/>
      </w:rPr>
      <w:t>1</w:t>
    </w:r>
    <w:r w:rsidR="00C161B0">
      <w:rPr>
        <w:i/>
        <w:lang w:val="de-DE"/>
      </w:rPr>
      <w:fldChar w:fldCharType="end"/>
    </w:r>
    <w:r>
      <w:rPr>
        <w:i/>
        <w:lang w:val="de-DE"/>
      </w:rPr>
      <w:t xml:space="preserve"> / 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311" w:rsidRDefault="000A7311" w:rsidP="000A7311">
      <w:r>
        <w:separator/>
      </w:r>
    </w:p>
  </w:footnote>
  <w:footnote w:type="continuationSeparator" w:id="0">
    <w:p w:rsidR="000A7311" w:rsidRDefault="000A7311" w:rsidP="000A73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311" w:rsidRDefault="00E77FF5">
    <w:pPr>
      <w:pBdr>
        <w:top w:val="none" w:sz="0" w:space="0" w:color="000000"/>
        <w:left w:val="none" w:sz="0" w:space="0" w:color="000000"/>
        <w:bottom w:val="single" w:sz="8" w:space="2" w:color="000000"/>
        <w:right w:val="none" w:sz="0" w:space="0" w:color="000000"/>
      </w:pBdr>
      <w:ind w:right="-15"/>
      <w:rPr>
        <w:b/>
        <w:i/>
        <w:sz w:val="24"/>
      </w:rPr>
    </w:pPr>
    <w:r>
      <w:rPr>
        <w:b/>
        <w:noProof/>
        <w:color w:val="000000"/>
        <w:sz w:val="24"/>
        <w:lang w:eastAsia="pl-PL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4156075</wp:posOffset>
          </wp:positionH>
          <wp:positionV relativeFrom="paragraph">
            <wp:posOffset>-306705</wp:posOffset>
          </wp:positionV>
          <wp:extent cx="2088515" cy="568325"/>
          <wp:effectExtent l="19050" t="0" r="6985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8515" cy="568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A7311">
      <w:rPr>
        <w:b/>
        <w:color w:val="000000"/>
        <w:sz w:val="24"/>
      </w:rPr>
      <w:t xml:space="preserve">KARTA CHARAKTERYSTYKI PREPARATU </w:t>
    </w:r>
  </w:p>
  <w:p w:rsidR="000A7311" w:rsidRDefault="000A7311">
    <w:pPr>
      <w:ind w:right="-15"/>
      <w:jc w:val="center"/>
      <w:rPr>
        <w:b/>
        <w:i/>
        <w:sz w:val="24"/>
      </w:rPr>
    </w:pPr>
    <w:r>
      <w:rPr>
        <w:b/>
        <w:i/>
        <w:sz w:val="24"/>
      </w:rPr>
      <w:t xml:space="preserve">Na podstawie rozporządzenia nr 1907/2006/WE (REACH) z </w:t>
    </w:r>
    <w:proofErr w:type="spellStart"/>
    <w:r>
      <w:rPr>
        <w:b/>
        <w:i/>
        <w:sz w:val="24"/>
      </w:rPr>
      <w:t>późn</w:t>
    </w:r>
    <w:proofErr w:type="spellEnd"/>
    <w:r>
      <w:rPr>
        <w:b/>
        <w:i/>
        <w:sz w:val="24"/>
      </w:rPr>
      <w:t>. zm.</w:t>
    </w:r>
  </w:p>
  <w:p w:rsidR="000A7311" w:rsidRDefault="000A7311">
    <w:pPr>
      <w:ind w:right="-15"/>
      <w:jc w:val="center"/>
      <w:rPr>
        <w:b/>
        <w:i/>
        <w:sz w:val="24"/>
      </w:rPr>
    </w:pPr>
  </w:p>
  <w:p w:rsidR="000A7311" w:rsidRDefault="000A7311">
    <w:pPr>
      <w:ind w:right="-15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Data sporządzenia: 01.06.2010r</w:t>
    </w:r>
  </w:p>
  <w:p w:rsidR="000A7311" w:rsidRDefault="000A7311">
    <w:pPr>
      <w:tabs>
        <w:tab w:val="left" w:pos="5775"/>
        <w:tab w:val="left" w:pos="5910"/>
      </w:tabs>
      <w:ind w:right="-15"/>
      <w:jc w:val="center"/>
      <w:rPr>
        <w:b/>
        <w:bCs/>
        <w:color w:val="000000"/>
        <w:u w:val="single"/>
      </w:rPr>
    </w:pPr>
    <w:r>
      <w:tab/>
      <w:t>Data aktualizacji: 26.04.2016r.</w:t>
    </w:r>
  </w:p>
  <w:p w:rsidR="000A7311" w:rsidRDefault="000A7311">
    <w:pPr>
      <w:tabs>
        <w:tab w:val="left" w:pos="5775"/>
        <w:tab w:val="left" w:pos="5910"/>
      </w:tabs>
      <w:ind w:right="-15"/>
      <w:jc w:val="center"/>
    </w:pPr>
    <w:r>
      <w:rPr>
        <w:b/>
        <w:bCs/>
        <w:color w:val="000000"/>
        <w:u w:val="single"/>
      </w:rPr>
      <w:t>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spacing w:val="0"/>
        <w:w w:val="100"/>
        <w:kern w:val="1"/>
        <w:position w:val="0"/>
        <w:sz w:val="24"/>
        <w:u w:val="none"/>
        <w:vertAlign w:val="baseline"/>
      </w:rPr>
    </w:lvl>
    <w:lvl w:ilvl="1">
      <w:start w:val="1"/>
      <w:numFmt w:val="decimal"/>
      <w:pStyle w:val="Nagwek2"/>
      <w:lvlText w:val="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spacing w:val="0"/>
        <w:w w:val="100"/>
        <w:kern w:val="1"/>
        <w:position w:val="0"/>
        <w:sz w:val="24"/>
        <w:u w:val="none"/>
        <w:vertAlign w:val="baseli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spacing w:val="0"/>
        <w:w w:val="100"/>
        <w:kern w:val="1"/>
        <w:position w:val="0"/>
        <w:sz w:val="24"/>
        <w:u w:val="none"/>
        <w:vertAlign w:val="baseline"/>
      </w:rPr>
    </w:lvl>
    <w:lvl w:ilvl="3">
      <w:start w:val="1"/>
      <w:numFmt w:val="decimal"/>
      <w:pStyle w:val="Nagwek4"/>
      <w:lvlText w:val="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.%4.%5.%6.%7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.%4.%5.%6.%7.%8.%9.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spacing w:val="0"/>
        <w:w w:val="100"/>
        <w:kern w:val="1"/>
        <w:position w:val="0"/>
        <w:sz w:val="24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spacing w:val="0"/>
        <w:w w:val="100"/>
        <w:kern w:val="1"/>
        <w:position w:val="0"/>
        <w:sz w:val="24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spacing w:val="0"/>
        <w:w w:val="100"/>
        <w:kern w:val="1"/>
        <w:position w:val="0"/>
        <w:sz w:val="24"/>
        <w:u w:val="none"/>
        <w:vertAlign w:val="baseline"/>
      </w:rPr>
    </w:lvl>
    <w:lvl w:ilvl="3">
      <w:start w:val="1"/>
      <w:numFmt w:val="decimal"/>
      <w:lvlText w:val="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.%4.%5.%6.%7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%4.%5.%6.%7.%8.%9.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558F5"/>
    <w:rsid w:val="000A7311"/>
    <w:rsid w:val="00955F2A"/>
    <w:rsid w:val="00C161B0"/>
    <w:rsid w:val="00E558F5"/>
    <w:rsid w:val="00E77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61B0"/>
    <w:pPr>
      <w:suppressAutoHyphens/>
    </w:pPr>
    <w:rPr>
      <w:kern w:val="1"/>
      <w:lang w:eastAsia="zh-CN"/>
    </w:rPr>
  </w:style>
  <w:style w:type="paragraph" w:styleId="Nagwek1">
    <w:name w:val="heading 1"/>
    <w:basedOn w:val="Normalny"/>
    <w:next w:val="Normalny"/>
    <w:qFormat/>
    <w:rsid w:val="00C161B0"/>
    <w:pPr>
      <w:keepNext/>
      <w:widowControl w:val="0"/>
      <w:numPr>
        <w:numId w:val="1"/>
      </w:numPr>
      <w:tabs>
        <w:tab w:val="left" w:pos="0"/>
        <w:tab w:val="left" w:pos="1418"/>
        <w:tab w:val="left" w:pos="2127"/>
        <w:tab w:val="left" w:pos="2837"/>
        <w:tab w:val="left" w:pos="3546"/>
        <w:tab w:val="left" w:pos="4255"/>
        <w:tab w:val="left" w:pos="4964"/>
        <w:tab w:val="left" w:pos="5673"/>
        <w:tab w:val="left" w:pos="6383"/>
        <w:tab w:val="left" w:pos="7092"/>
        <w:tab w:val="left" w:pos="7801"/>
        <w:tab w:val="left" w:pos="8510"/>
        <w:tab w:val="left" w:pos="9219"/>
        <w:tab w:val="left" w:pos="9929"/>
        <w:tab w:val="left" w:pos="10638"/>
      </w:tabs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C161B0"/>
    <w:pPr>
      <w:keepNext/>
      <w:widowControl w:val="0"/>
      <w:numPr>
        <w:ilvl w:val="1"/>
        <w:numId w:val="1"/>
      </w:numPr>
      <w:tabs>
        <w:tab w:val="left" w:pos="0"/>
        <w:tab w:val="left" w:pos="1418"/>
        <w:tab w:val="left" w:pos="2127"/>
        <w:tab w:val="left" w:pos="2837"/>
        <w:tab w:val="left" w:pos="3546"/>
        <w:tab w:val="left" w:pos="4255"/>
        <w:tab w:val="left" w:pos="4964"/>
        <w:tab w:val="left" w:pos="5673"/>
        <w:tab w:val="left" w:pos="6383"/>
        <w:tab w:val="left" w:pos="7092"/>
        <w:tab w:val="left" w:pos="7801"/>
        <w:tab w:val="left" w:pos="8510"/>
        <w:tab w:val="left" w:pos="9219"/>
        <w:tab w:val="left" w:pos="9929"/>
        <w:tab w:val="left" w:pos="10638"/>
      </w:tabs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C161B0"/>
    <w:pPr>
      <w:keepNext/>
      <w:widowControl w:val="0"/>
      <w:numPr>
        <w:ilvl w:val="2"/>
        <w:numId w:val="1"/>
      </w:numPr>
      <w:tabs>
        <w:tab w:val="right" w:pos="9128"/>
      </w:tabs>
      <w:ind w:left="0" w:right="567" w:firstLine="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C161B0"/>
    <w:pPr>
      <w:keepNext/>
      <w:widowControl w:val="0"/>
      <w:numPr>
        <w:ilvl w:val="3"/>
        <w:numId w:val="1"/>
      </w:numPr>
      <w:spacing w:before="140" w:line="100" w:lineRule="exact"/>
      <w:jc w:val="center"/>
      <w:outlineLvl w:val="3"/>
    </w:pPr>
    <w:rPr>
      <w:i/>
      <w:sz w:val="24"/>
    </w:rPr>
  </w:style>
  <w:style w:type="paragraph" w:styleId="Nagwek5">
    <w:name w:val="heading 5"/>
    <w:basedOn w:val="Normalny"/>
    <w:next w:val="Normalny"/>
    <w:qFormat/>
    <w:rsid w:val="00C161B0"/>
    <w:pPr>
      <w:widowControl w:val="0"/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qFormat/>
    <w:rsid w:val="00C161B0"/>
    <w:pPr>
      <w:widowControl w:val="0"/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C161B0"/>
    <w:pPr>
      <w:widowControl w:val="0"/>
      <w:numPr>
        <w:ilvl w:val="6"/>
        <w:numId w:val="1"/>
      </w:numPr>
      <w:spacing w:before="240" w:after="60"/>
      <w:outlineLvl w:val="6"/>
    </w:pPr>
    <w:rPr>
      <w:rFonts w:ascii="Arial" w:hAnsi="Arial" w:cs="Arial"/>
      <w:sz w:val="24"/>
    </w:rPr>
  </w:style>
  <w:style w:type="paragraph" w:styleId="Nagwek8">
    <w:name w:val="heading 8"/>
    <w:basedOn w:val="Normalny"/>
    <w:next w:val="Normalny"/>
    <w:qFormat/>
    <w:rsid w:val="00C161B0"/>
    <w:pPr>
      <w:widowControl w:val="0"/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4"/>
    </w:rPr>
  </w:style>
  <w:style w:type="paragraph" w:styleId="Nagwek9">
    <w:name w:val="heading 9"/>
    <w:basedOn w:val="Normalny"/>
    <w:next w:val="Normalny"/>
    <w:qFormat/>
    <w:rsid w:val="00C161B0"/>
    <w:pPr>
      <w:widowControl w:val="0"/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161B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WW8Num1z1">
    <w:name w:val="WW8Num1z1"/>
    <w:rsid w:val="00C161B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WW8Num1z3">
    <w:name w:val="WW8Num1z3"/>
    <w:rsid w:val="00C161B0"/>
  </w:style>
  <w:style w:type="character" w:customStyle="1" w:styleId="WW8Num1z4">
    <w:name w:val="WW8Num1z4"/>
    <w:rsid w:val="00C161B0"/>
  </w:style>
  <w:style w:type="character" w:customStyle="1" w:styleId="WW8Num1z5">
    <w:name w:val="WW8Num1z5"/>
    <w:rsid w:val="00C161B0"/>
  </w:style>
  <w:style w:type="character" w:customStyle="1" w:styleId="WW8Num1z6">
    <w:name w:val="WW8Num1z6"/>
    <w:rsid w:val="00C161B0"/>
  </w:style>
  <w:style w:type="character" w:customStyle="1" w:styleId="WW8Num1z7">
    <w:name w:val="WW8Num1z7"/>
    <w:rsid w:val="00C161B0"/>
  </w:style>
  <w:style w:type="character" w:customStyle="1" w:styleId="WW8Num1z8">
    <w:name w:val="WW8Num1z8"/>
    <w:rsid w:val="00C161B0"/>
  </w:style>
  <w:style w:type="character" w:customStyle="1" w:styleId="WW8Num2z0">
    <w:name w:val="WW8Num2z0"/>
    <w:rsid w:val="00C161B0"/>
  </w:style>
  <w:style w:type="character" w:customStyle="1" w:styleId="WW8Num2z1">
    <w:name w:val="WW8Num2z1"/>
    <w:rsid w:val="00C161B0"/>
    <w:rPr>
      <w:rFonts w:ascii="Times New Roman" w:hAnsi="Times New Roman" w:cs="Times New Roman"/>
      <w:b/>
      <w:bCs/>
      <w:i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WW8Num2z3">
    <w:name w:val="WW8Num2z3"/>
    <w:rsid w:val="00C161B0"/>
  </w:style>
  <w:style w:type="character" w:customStyle="1" w:styleId="WW8Num2z4">
    <w:name w:val="WW8Num2z4"/>
    <w:rsid w:val="00C161B0"/>
  </w:style>
  <w:style w:type="character" w:customStyle="1" w:styleId="WW8Num2z5">
    <w:name w:val="WW8Num2z5"/>
    <w:rsid w:val="00C161B0"/>
  </w:style>
  <w:style w:type="character" w:customStyle="1" w:styleId="WW8Num2z6">
    <w:name w:val="WW8Num2z6"/>
    <w:rsid w:val="00C161B0"/>
  </w:style>
  <w:style w:type="character" w:customStyle="1" w:styleId="WW8Num2z7">
    <w:name w:val="WW8Num2z7"/>
    <w:rsid w:val="00C161B0"/>
  </w:style>
  <w:style w:type="character" w:customStyle="1" w:styleId="WW8Num2z8">
    <w:name w:val="WW8Num2z8"/>
    <w:rsid w:val="00C161B0"/>
  </w:style>
  <w:style w:type="character" w:customStyle="1" w:styleId="WW8Num3z0">
    <w:name w:val="WW8Num3z0"/>
    <w:rsid w:val="00C161B0"/>
    <w:rPr>
      <w:b/>
      <w:bCs/>
      <w:sz w:val="24"/>
      <w:szCs w:val="24"/>
    </w:rPr>
  </w:style>
  <w:style w:type="character" w:customStyle="1" w:styleId="WW8Num3z2">
    <w:name w:val="WW8Num3z2"/>
    <w:rsid w:val="00C161B0"/>
  </w:style>
  <w:style w:type="character" w:customStyle="1" w:styleId="WW8Num3z3">
    <w:name w:val="WW8Num3z3"/>
    <w:rsid w:val="00C161B0"/>
  </w:style>
  <w:style w:type="character" w:customStyle="1" w:styleId="WW8Num3z4">
    <w:name w:val="WW8Num3z4"/>
    <w:rsid w:val="00C161B0"/>
  </w:style>
  <w:style w:type="character" w:customStyle="1" w:styleId="WW8Num3z5">
    <w:name w:val="WW8Num3z5"/>
    <w:rsid w:val="00C161B0"/>
  </w:style>
  <w:style w:type="character" w:customStyle="1" w:styleId="WW8Num3z6">
    <w:name w:val="WW8Num3z6"/>
    <w:rsid w:val="00C161B0"/>
  </w:style>
  <w:style w:type="character" w:customStyle="1" w:styleId="WW8Num3z7">
    <w:name w:val="WW8Num3z7"/>
    <w:rsid w:val="00C161B0"/>
  </w:style>
  <w:style w:type="character" w:customStyle="1" w:styleId="WW8Num3z8">
    <w:name w:val="WW8Num3z8"/>
    <w:rsid w:val="00C161B0"/>
  </w:style>
  <w:style w:type="character" w:customStyle="1" w:styleId="WW8Num4z1">
    <w:name w:val="WW8Num4z1"/>
    <w:rsid w:val="00C161B0"/>
    <w:rPr>
      <w:rFonts w:ascii="Times New Roman" w:hAnsi="Times New Roman" w:cs="Times New Roman"/>
      <w:b/>
      <w:bCs/>
      <w:i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WW8Num7z0">
    <w:name w:val="WW8Num7z0"/>
    <w:rsid w:val="00C161B0"/>
    <w:rPr>
      <w:rFonts w:ascii="Symbol" w:hAnsi="Symbol" w:cs="Symbol"/>
    </w:rPr>
  </w:style>
  <w:style w:type="character" w:customStyle="1" w:styleId="WW8Num13z0">
    <w:name w:val="WW8Num13z0"/>
    <w:rsid w:val="00C161B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WW8Num13z1">
    <w:name w:val="WW8Num13z1"/>
    <w:rsid w:val="00C161B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WW8Num17z1">
    <w:name w:val="WW8Num17z1"/>
    <w:rsid w:val="00C161B0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Domylnaczcionkaakapitu1">
    <w:name w:val="Domyślna czcionka akapitu1"/>
    <w:rsid w:val="00C161B0"/>
  </w:style>
  <w:style w:type="character" w:styleId="Hipercze">
    <w:name w:val="Hyperlink"/>
    <w:basedOn w:val="Domylnaczcionkaakapitu1"/>
    <w:rsid w:val="00C161B0"/>
    <w:rPr>
      <w:color w:val="0000FF"/>
      <w:u w:val="single"/>
    </w:rPr>
  </w:style>
  <w:style w:type="character" w:styleId="Pogrubienie">
    <w:name w:val="Strong"/>
    <w:qFormat/>
    <w:rsid w:val="00C161B0"/>
    <w:rPr>
      <w:b/>
      <w:bCs/>
    </w:rPr>
  </w:style>
  <w:style w:type="character" w:customStyle="1" w:styleId="Znakinumeracji">
    <w:name w:val="Znaki numeracji"/>
    <w:rsid w:val="00C161B0"/>
    <w:rPr>
      <w:b/>
      <w:bCs/>
      <w:sz w:val="24"/>
      <w:szCs w:val="24"/>
    </w:rPr>
  </w:style>
  <w:style w:type="character" w:customStyle="1" w:styleId="Znakiwypunktowania">
    <w:name w:val="Znaki wypunktowania"/>
    <w:rsid w:val="00C161B0"/>
    <w:rPr>
      <w:rFonts w:ascii="OpenSymbol" w:eastAsia="OpenSymbol" w:hAnsi="OpenSymbol" w:cs="OpenSymbol"/>
    </w:rPr>
  </w:style>
  <w:style w:type="paragraph" w:customStyle="1" w:styleId="Nagwek11">
    <w:name w:val="Nagłówek1"/>
    <w:basedOn w:val="Normalny"/>
    <w:next w:val="Tekstpodstawowy"/>
    <w:rsid w:val="00C161B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rsid w:val="00C161B0"/>
    <w:pPr>
      <w:tabs>
        <w:tab w:val="left" w:pos="5103"/>
      </w:tabs>
    </w:pPr>
    <w:rPr>
      <w:b/>
    </w:rPr>
  </w:style>
  <w:style w:type="paragraph" w:styleId="Lista">
    <w:name w:val="List"/>
    <w:basedOn w:val="Tekstpodstawowy"/>
    <w:rsid w:val="00C161B0"/>
    <w:rPr>
      <w:rFonts w:cs="Tahoma"/>
    </w:rPr>
  </w:style>
  <w:style w:type="paragraph" w:styleId="Legenda">
    <w:name w:val="caption"/>
    <w:basedOn w:val="Normalny"/>
    <w:qFormat/>
    <w:rsid w:val="00C161B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C161B0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C161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tnadardowy">
    <w:name w:val="Stnadardowy"/>
    <w:basedOn w:val="Normalny"/>
    <w:rsid w:val="00C161B0"/>
    <w:pPr>
      <w:widowControl w:val="0"/>
      <w:spacing w:before="700" w:line="256" w:lineRule="auto"/>
    </w:pPr>
    <w:rPr>
      <w:sz w:val="22"/>
    </w:rPr>
  </w:style>
  <w:style w:type="paragraph" w:customStyle="1" w:styleId="Styl1">
    <w:name w:val="Styl1"/>
    <w:basedOn w:val="Normalny"/>
    <w:rsid w:val="00C161B0"/>
    <w:pPr>
      <w:widowControl w:val="0"/>
      <w:spacing w:before="700" w:line="256" w:lineRule="auto"/>
    </w:pPr>
    <w:rPr>
      <w:sz w:val="22"/>
    </w:rPr>
  </w:style>
  <w:style w:type="paragraph" w:styleId="Stopka">
    <w:name w:val="footer"/>
    <w:basedOn w:val="Normalny"/>
    <w:rsid w:val="00C161B0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C161B0"/>
    <w:pPr>
      <w:ind w:left="2835" w:hanging="2268"/>
    </w:pPr>
  </w:style>
  <w:style w:type="paragraph" w:customStyle="1" w:styleId="Tekstpodstawowywcity21">
    <w:name w:val="Tekst podstawowy wcięty 21"/>
    <w:basedOn w:val="Normalny"/>
    <w:rsid w:val="00C161B0"/>
    <w:pPr>
      <w:tabs>
        <w:tab w:val="left" w:pos="5103"/>
      </w:tabs>
      <w:ind w:left="6237" w:hanging="1134"/>
      <w:jc w:val="both"/>
    </w:pPr>
  </w:style>
  <w:style w:type="paragraph" w:customStyle="1" w:styleId="Tekstpodstawowywcity31">
    <w:name w:val="Tekst podstawowy wcięty 31"/>
    <w:basedOn w:val="Normalny"/>
    <w:rsid w:val="00C161B0"/>
    <w:pPr>
      <w:ind w:left="2268" w:hanging="1701"/>
    </w:pPr>
  </w:style>
  <w:style w:type="paragraph" w:customStyle="1" w:styleId="Plandokumentu1">
    <w:name w:val="Plan dokumentu1"/>
    <w:basedOn w:val="Normalny"/>
    <w:rsid w:val="00C161B0"/>
    <w:pPr>
      <w:shd w:val="clear" w:color="auto" w:fill="000080"/>
    </w:pPr>
    <w:rPr>
      <w:rFonts w:ascii="Tahoma" w:hAnsi="Tahoma" w:cs="Tahoma"/>
    </w:rPr>
  </w:style>
  <w:style w:type="paragraph" w:customStyle="1" w:styleId="Preformatted">
    <w:name w:val="Preformatted"/>
    <w:basedOn w:val="Normalny"/>
    <w:rsid w:val="00C161B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Tekstpodstawowy1">
    <w:name w:val="Tekst podstawowy1"/>
    <w:rsid w:val="00C161B0"/>
    <w:pPr>
      <w:suppressAutoHyphens/>
    </w:pPr>
    <w:rPr>
      <w:rFonts w:eastAsia="Arial"/>
      <w:color w:val="000000"/>
      <w:kern w:val="1"/>
      <w:sz w:val="24"/>
      <w:lang w:val="cs-CZ" w:eastAsia="zh-CN"/>
    </w:rPr>
  </w:style>
  <w:style w:type="paragraph" w:customStyle="1" w:styleId="Nagwek10">
    <w:name w:val="Nagłówek 10"/>
    <w:basedOn w:val="Nagwek"/>
    <w:next w:val="Tekstpodstawowy"/>
    <w:rsid w:val="00C161B0"/>
    <w:pPr>
      <w:numPr>
        <w:numId w:val="2"/>
      </w:numPr>
    </w:pPr>
    <w:rPr>
      <w:b/>
      <w:bCs/>
      <w:sz w:val="21"/>
      <w:szCs w:val="21"/>
    </w:rPr>
  </w:style>
  <w:style w:type="paragraph" w:customStyle="1" w:styleId="Liniapozioma">
    <w:name w:val="Linia pozioma"/>
    <w:basedOn w:val="Normalny"/>
    <w:next w:val="Tekstpodstawowy"/>
    <w:rsid w:val="00C161B0"/>
    <w:pPr>
      <w:suppressLineNumbers/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Zawartotabeli">
    <w:name w:val="Zawartość tabeli"/>
    <w:basedOn w:val="Normalny"/>
    <w:rsid w:val="00C161B0"/>
    <w:pPr>
      <w:suppressLineNumbers/>
    </w:pPr>
  </w:style>
  <w:style w:type="paragraph" w:customStyle="1" w:styleId="Nagwektabeli">
    <w:name w:val="Nagłówek tabeli"/>
    <w:basedOn w:val="Zawartotabeli"/>
    <w:rsid w:val="00C161B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ex@meex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2691</Words>
  <Characters>16147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charakterystyki niebezpiecznej substancji chemicznej</vt:lpstr>
    </vt:vector>
  </TitlesOfParts>
  <Company/>
  <LinksUpToDate>false</LinksUpToDate>
  <CharactersWithSpaces>18801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charakterystyki niebezpiecznej substancji chemicznej</dc:title>
  <dc:creator>Admin</dc:creator>
  <cp:lastModifiedBy>Admin</cp:lastModifiedBy>
  <cp:revision>3</cp:revision>
  <cp:lastPrinted>2016-05-04T12:01:00Z</cp:lastPrinted>
  <dcterms:created xsi:type="dcterms:W3CDTF">2016-07-12T07:10:00Z</dcterms:created>
  <dcterms:modified xsi:type="dcterms:W3CDTF">2016-07-12T10:36:00Z</dcterms:modified>
</cp:coreProperties>
</file>